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A3" w:rsidRPr="002061A3" w:rsidRDefault="002061A3" w:rsidP="002061A3">
      <w:pPr>
        <w:spacing w:line="240" w:lineRule="auto"/>
        <w:jc w:val="both"/>
        <w:rPr>
          <w:rFonts w:eastAsia="Times New Roman" w:cs="Arial"/>
          <w:b/>
          <w:bCs/>
          <w:color w:val="000000"/>
          <w:sz w:val="32"/>
          <w:szCs w:val="32"/>
          <w:lang w:eastAsia="cs-CZ"/>
        </w:rPr>
      </w:pPr>
      <w:r w:rsidRPr="00597498">
        <w:rPr>
          <w:rFonts w:eastAsia="Times New Roman" w:cs="Arial"/>
          <w:b/>
          <w:bCs/>
          <w:color w:val="000000"/>
          <w:sz w:val="32"/>
          <w:szCs w:val="32"/>
          <w:lang w:eastAsia="cs-CZ"/>
        </w:rPr>
        <w:t>Vyjádření Rekonstrukce státu k</w:t>
      </w:r>
      <w:r>
        <w:rPr>
          <w:rFonts w:eastAsia="Times New Roman" w:cs="Arial"/>
          <w:b/>
          <w:bCs/>
          <w:color w:val="000000"/>
          <w:sz w:val="32"/>
          <w:szCs w:val="32"/>
          <w:lang w:eastAsia="cs-CZ"/>
        </w:rPr>
        <w:t> projednání Senátem vrácené novely</w:t>
      </w:r>
      <w:r w:rsidRPr="00597498">
        <w:rPr>
          <w:rFonts w:eastAsia="Times New Roman" w:cs="Arial"/>
          <w:b/>
          <w:bCs/>
          <w:color w:val="000000"/>
          <w:sz w:val="32"/>
          <w:szCs w:val="32"/>
          <w:lang w:eastAsia="cs-CZ"/>
        </w:rPr>
        <w:t xml:space="preserve"> zákona o střetu zájmů</w:t>
      </w:r>
    </w:p>
    <w:p w:rsidR="002061A3" w:rsidRDefault="002061A3" w:rsidP="002061A3">
      <w:pPr>
        <w:spacing w:before="100" w:beforeAutospacing="1" w:after="100" w:afterAutospacing="1" w:line="240" w:lineRule="auto"/>
        <w:contextualSpacing/>
        <w:jc w:val="both"/>
        <w:rPr>
          <w:b/>
          <w:bCs/>
        </w:rPr>
      </w:pPr>
    </w:p>
    <w:p w:rsidR="002061A3" w:rsidRPr="00090986" w:rsidRDefault="002061A3" w:rsidP="002061A3">
      <w:pPr>
        <w:spacing w:before="100" w:beforeAutospacing="1" w:after="100" w:afterAutospacing="1" w:line="240" w:lineRule="auto"/>
        <w:contextualSpacing/>
        <w:jc w:val="both"/>
        <w:rPr>
          <w:b/>
          <w:bCs/>
        </w:rPr>
      </w:pPr>
      <w:r w:rsidRPr="00090986">
        <w:rPr>
          <w:b/>
          <w:bCs/>
        </w:rPr>
        <w:t xml:space="preserve">Platforma Rekonstrukce </w:t>
      </w:r>
      <w:r w:rsidRPr="00C86A2C">
        <w:rPr>
          <w:b/>
          <w:bCs/>
        </w:rPr>
        <w:t xml:space="preserve">státu doporučuje schválit návrh zákona o střetu zájmů ve znění schváleném Senátem České republiky </w:t>
      </w:r>
      <w:r w:rsidRPr="00C86A2C">
        <w:rPr>
          <w:bCs/>
        </w:rPr>
        <w:t>(sněmovní tisk č. 564/13).</w:t>
      </w:r>
      <w:r w:rsidRPr="00090986">
        <w:rPr>
          <w:b/>
          <w:bCs/>
        </w:rPr>
        <w:t xml:space="preserve"> </w:t>
      </w:r>
      <w:r w:rsidRPr="00090986">
        <w:rPr>
          <w:bCs/>
        </w:rPr>
        <w:t>Zároveň poukazujeme na závažné pochybnosti o ústavní konformitě ustanovení § 4a týkajícího se zákazu vlastnit média pro všechny funkcionář</w:t>
      </w:r>
      <w:r>
        <w:rPr>
          <w:bCs/>
        </w:rPr>
        <w:t>e, které by bylo vhodné řešit primárně urychlenou novelizací daného ustanovení.</w:t>
      </w:r>
      <w:r w:rsidRPr="00090986">
        <w:rPr>
          <w:b/>
          <w:bCs/>
        </w:rPr>
        <w:t xml:space="preserve"> </w:t>
      </w:r>
    </w:p>
    <w:p w:rsidR="002061A3" w:rsidRPr="00090986" w:rsidRDefault="002061A3" w:rsidP="002061A3">
      <w:pPr>
        <w:spacing w:before="100" w:beforeAutospacing="1" w:after="100" w:afterAutospacing="1" w:line="240" w:lineRule="auto"/>
        <w:contextualSpacing/>
        <w:jc w:val="both"/>
        <w:rPr>
          <w:b/>
          <w:bCs/>
          <w:u w:val="single"/>
        </w:rPr>
      </w:pPr>
    </w:p>
    <w:p w:rsidR="002061A3" w:rsidRPr="002061A3" w:rsidRDefault="002061A3" w:rsidP="002061A3">
      <w:pPr>
        <w:spacing w:before="100" w:beforeAutospacing="1" w:after="100" w:afterAutospacing="1" w:line="240" w:lineRule="auto"/>
        <w:contextualSpacing/>
        <w:jc w:val="both"/>
        <w:rPr>
          <w:b/>
          <w:bCs/>
          <w:u w:val="single"/>
        </w:rPr>
      </w:pPr>
      <w:r w:rsidRPr="00090986">
        <w:rPr>
          <w:b/>
          <w:bCs/>
          <w:u w:val="single"/>
        </w:rPr>
        <w:t>Odůvodnění:</w:t>
      </w:r>
    </w:p>
    <w:p w:rsidR="002061A3" w:rsidRPr="00090986" w:rsidRDefault="002061A3" w:rsidP="002061A3">
      <w:pPr>
        <w:pStyle w:val="Odstavecseseznamem"/>
        <w:numPr>
          <w:ilvl w:val="0"/>
          <w:numId w:val="9"/>
        </w:numPr>
        <w:spacing w:after="0" w:line="240" w:lineRule="auto"/>
        <w:ind w:hanging="357"/>
        <w:contextualSpacing w:val="0"/>
        <w:jc w:val="both"/>
        <w:rPr>
          <w:rFonts w:cs="Times New Roman"/>
        </w:rPr>
      </w:pPr>
      <w:r w:rsidRPr="00090986">
        <w:rPr>
          <w:rFonts w:cs="Arial"/>
          <w:color w:val="000000"/>
        </w:rPr>
        <w:t>Zákon přináší především:</w:t>
      </w:r>
    </w:p>
    <w:p w:rsidR="002061A3" w:rsidRPr="00090986" w:rsidRDefault="002061A3" w:rsidP="002061A3">
      <w:pPr>
        <w:pStyle w:val="Odstavecseseznamem"/>
        <w:numPr>
          <w:ilvl w:val="1"/>
          <w:numId w:val="10"/>
        </w:numPr>
        <w:spacing w:after="0" w:line="240" w:lineRule="auto"/>
        <w:contextualSpacing w:val="0"/>
        <w:jc w:val="both"/>
        <w:rPr>
          <w:rFonts w:cs="Times New Roman"/>
        </w:rPr>
      </w:pPr>
      <w:r w:rsidRPr="00090986">
        <w:rPr>
          <w:rFonts w:cs="Arial"/>
          <w:color w:val="000000"/>
        </w:rPr>
        <w:t>dosud chybějící definici</w:t>
      </w:r>
      <w:r>
        <w:rPr>
          <w:rFonts w:cs="Arial"/>
          <w:color w:val="000000"/>
        </w:rPr>
        <w:t xml:space="preserve"> střetu zájmů</w:t>
      </w:r>
    </w:p>
    <w:p w:rsidR="002061A3" w:rsidRPr="00090986" w:rsidRDefault="002061A3" w:rsidP="002061A3">
      <w:pPr>
        <w:pStyle w:val="Odstavecseseznamem"/>
        <w:numPr>
          <w:ilvl w:val="1"/>
          <w:numId w:val="10"/>
        </w:numPr>
        <w:spacing w:after="0" w:line="240" w:lineRule="auto"/>
        <w:contextualSpacing w:val="0"/>
        <w:jc w:val="both"/>
        <w:rPr>
          <w:rFonts w:cs="Times New Roman"/>
        </w:rPr>
      </w:pPr>
      <w:r w:rsidRPr="00090986">
        <w:rPr>
          <w:rFonts w:cs="Arial"/>
          <w:color w:val="000000"/>
        </w:rPr>
        <w:t xml:space="preserve">zásadní zjednodušení způsobu odevzdávání a kontrolu oznámení o majetku skrze jednotný elektronický registr </w:t>
      </w:r>
    </w:p>
    <w:p w:rsidR="002061A3" w:rsidRPr="002061A3" w:rsidRDefault="002061A3" w:rsidP="002061A3">
      <w:pPr>
        <w:pStyle w:val="Odstavecseseznamem"/>
        <w:numPr>
          <w:ilvl w:val="1"/>
          <w:numId w:val="10"/>
        </w:numPr>
        <w:spacing w:after="0" w:line="240" w:lineRule="auto"/>
        <w:contextualSpacing w:val="0"/>
        <w:jc w:val="both"/>
      </w:pPr>
      <w:r w:rsidRPr="00090986">
        <w:rPr>
          <w:rFonts w:cs="Arial"/>
          <w:color w:val="000000"/>
        </w:rPr>
        <w:t xml:space="preserve">tzv. vstupní majetková přiznání umožňující srovnat majetek nabytý během funkce s původním majetkem. </w:t>
      </w:r>
    </w:p>
    <w:p w:rsidR="002061A3" w:rsidRPr="00090986" w:rsidRDefault="002061A3" w:rsidP="002061A3">
      <w:pPr>
        <w:pStyle w:val="Odstavecseseznamem"/>
        <w:spacing w:after="0" w:line="240" w:lineRule="auto"/>
        <w:ind w:left="1080"/>
        <w:contextualSpacing w:val="0"/>
        <w:jc w:val="both"/>
      </w:pPr>
    </w:p>
    <w:p w:rsidR="002061A3" w:rsidRPr="00536449" w:rsidRDefault="002061A3" w:rsidP="002061A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 w:rsidRPr="00090986">
        <w:t xml:space="preserve">Znění návrhu zákona schválené Poslaneckou sněmovnou (i znění navržené Senátem) zcela </w:t>
      </w:r>
      <w:r w:rsidRPr="00536449">
        <w:t xml:space="preserve">naplňuje 2 ze 3 základních parametrů definovaných platformou Rekonstrukce státu: </w:t>
      </w:r>
    </w:p>
    <w:p w:rsidR="002061A3" w:rsidRPr="00AB707A" w:rsidRDefault="002061A3" w:rsidP="002061A3">
      <w:pPr>
        <w:numPr>
          <w:ilvl w:val="1"/>
          <w:numId w:val="10"/>
        </w:numPr>
        <w:spacing w:after="0" w:line="240" w:lineRule="auto"/>
        <w:jc w:val="both"/>
        <w:textAlignment w:val="top"/>
        <w:rPr>
          <w:rFonts w:eastAsia="Times New Roman" w:cs="Times New Roman"/>
          <w:lang w:eastAsia="cs-CZ"/>
        </w:rPr>
      </w:pPr>
      <w:r w:rsidRPr="00AB707A">
        <w:rPr>
          <w:rFonts w:eastAsia="Times New Roman" w:cs="Times New Roman"/>
          <w:lang w:eastAsia="cs-CZ"/>
        </w:rPr>
        <w:t>majetková přiznání budou podávána elektronicky, centrálně evidována a budou přístupná na internetu</w:t>
      </w:r>
    </w:p>
    <w:p w:rsidR="002061A3" w:rsidRDefault="002061A3" w:rsidP="002061A3">
      <w:pPr>
        <w:numPr>
          <w:ilvl w:val="1"/>
          <w:numId w:val="10"/>
        </w:numPr>
        <w:spacing w:after="0" w:line="240" w:lineRule="auto"/>
        <w:jc w:val="both"/>
        <w:textAlignment w:val="top"/>
        <w:rPr>
          <w:rFonts w:eastAsia="Times New Roman" w:cs="Times New Roman"/>
          <w:lang w:eastAsia="cs-CZ"/>
        </w:rPr>
      </w:pPr>
      <w:r w:rsidRPr="00AB707A">
        <w:rPr>
          <w:rFonts w:eastAsia="Times New Roman" w:cs="Times New Roman"/>
          <w:lang w:eastAsia="cs-CZ"/>
        </w:rPr>
        <w:t>budou podávána také majetková přiznání ke dni nástupu do fun</w:t>
      </w:r>
      <w:r w:rsidRPr="00090986">
        <w:rPr>
          <w:rFonts w:eastAsia="Times New Roman" w:cs="Times New Roman"/>
          <w:lang w:eastAsia="cs-CZ"/>
        </w:rPr>
        <w:t xml:space="preserve">kce </w:t>
      </w:r>
    </w:p>
    <w:p w:rsidR="002061A3" w:rsidRPr="00090986" w:rsidRDefault="002061A3" w:rsidP="002061A3">
      <w:pPr>
        <w:spacing w:after="0" w:line="240" w:lineRule="auto"/>
        <w:ind w:left="1080"/>
        <w:jc w:val="both"/>
        <w:textAlignment w:val="top"/>
        <w:rPr>
          <w:rFonts w:eastAsia="Times New Roman" w:cs="Times New Roman"/>
          <w:lang w:eastAsia="cs-CZ"/>
        </w:rPr>
      </w:pPr>
    </w:p>
    <w:p w:rsidR="002061A3" w:rsidRPr="002061A3" w:rsidRDefault="002061A3" w:rsidP="002061A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cs="Times New Roman"/>
        </w:rPr>
      </w:pPr>
      <w:r w:rsidRPr="00090986">
        <w:rPr>
          <w:rFonts w:cs="Arial"/>
          <w:color w:val="000000"/>
        </w:rPr>
        <w:t>Hlavní nedostatek spatřujeme zejména v absenci změny vymáhání plnění zákona, byť v současnosti běžící systém prakticky nefunguje.</w:t>
      </w:r>
    </w:p>
    <w:p w:rsidR="002061A3" w:rsidRPr="00090986" w:rsidRDefault="002061A3" w:rsidP="002061A3">
      <w:pPr>
        <w:pStyle w:val="Odstavecseseznamem"/>
        <w:spacing w:after="0" w:line="240" w:lineRule="auto"/>
        <w:ind w:left="360"/>
        <w:contextualSpacing w:val="0"/>
        <w:jc w:val="both"/>
        <w:rPr>
          <w:rFonts w:cs="Times New Roman"/>
        </w:rPr>
      </w:pPr>
    </w:p>
    <w:p w:rsidR="002061A3" w:rsidRDefault="002061A3" w:rsidP="002061A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 w:rsidRPr="00536449">
        <w:rPr>
          <w:rFonts w:eastAsia="Times New Roman" w:cs="Arial"/>
          <w:color w:val="000000"/>
          <w:lang w:eastAsia="cs-CZ"/>
        </w:rPr>
        <w:t>Pozměňovací návrhy přijaté Senátem řeší pouze legislativně technické nedostatky</w:t>
      </w:r>
      <w:r w:rsidRPr="00536449">
        <w:t xml:space="preserve"> zákona a jeho účinnost.</w:t>
      </w:r>
      <w:r w:rsidRPr="00090986">
        <w:t xml:space="preserve"> Znění návrhu zákona schválené Poslaneckou sněmovnou není v souladu s novelizací zákona o střetu zájmů provedenou v souvislosti s přijetím zákona č. 424/1991 Sb. o sdružování v politických stranách a v politických hnutích (mezi veřejné funkcionáře podrobené pravidlům o střetu zájmů byli zařazeni předseda a člen Úřadu pro dohled nad hospodařením politických stran a politických hnutí). Vedle toho dochází v senátním znění k posunu účinnosti většiny ustanovení zákona na 1. září 2017, což umožní zřízení funkčního mechanismu zveřejňování majetkových přiznání před účinností zákona (k původnímu termínu 1. 1. 2017 to již není reálné).</w:t>
      </w:r>
    </w:p>
    <w:p w:rsidR="002061A3" w:rsidRPr="00090986" w:rsidRDefault="002061A3" w:rsidP="002061A3">
      <w:pPr>
        <w:pStyle w:val="Odstavecseseznamem"/>
        <w:spacing w:after="0" w:line="240" w:lineRule="auto"/>
        <w:ind w:left="360"/>
        <w:contextualSpacing w:val="0"/>
        <w:jc w:val="both"/>
      </w:pPr>
    </w:p>
    <w:p w:rsidR="002061A3" w:rsidRPr="002061A3" w:rsidRDefault="002061A3" w:rsidP="002061A3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bCs/>
        </w:rPr>
      </w:pPr>
      <w:r w:rsidRPr="00536449">
        <w:rPr>
          <w:bCs/>
        </w:rPr>
        <w:t xml:space="preserve">Posouzení ústavnosti daného ustanovení zákona přísluší pouze Ústavnímu soudu, který může v případě zjištění neústavnosti dané ustanovení zrušit. </w:t>
      </w:r>
      <w:r>
        <w:t>Shodně se studií Parlamentního institutu (odpověď na dotaz č. 3058 z listopadu 2016) se nicméně kloníme k závěru</w:t>
      </w:r>
      <w:r w:rsidRPr="00090986">
        <w:t xml:space="preserve">, že </w:t>
      </w:r>
      <w:r w:rsidRPr="00536449">
        <w:t>ustanovení 4a zákona by podle dosavadní praxe Ústavního soudu neobstálo v testu proporcionality</w:t>
      </w:r>
      <w:r>
        <w:t>. Za pravděpodobné tak považujeme, že v případě n</w:t>
      </w:r>
      <w:r w:rsidRPr="00536449">
        <w:rPr>
          <w:bCs/>
        </w:rPr>
        <w:t>ávrh</w:t>
      </w:r>
      <w:r>
        <w:rPr>
          <w:bCs/>
        </w:rPr>
        <w:t>u</w:t>
      </w:r>
      <w:r w:rsidRPr="00536449">
        <w:rPr>
          <w:bCs/>
        </w:rPr>
        <w:t xml:space="preserve"> </w:t>
      </w:r>
      <w:r w:rsidRPr="00536449">
        <w:rPr>
          <w:color w:val="000000"/>
        </w:rPr>
        <w:t xml:space="preserve">na zrušení jednotlivého ustanovení pro rozpor s ústavním pořádkem (čl. 87 odst. 1 písm. a) Ústavy) </w:t>
      </w:r>
      <w:r>
        <w:rPr>
          <w:color w:val="000000"/>
        </w:rPr>
        <w:t xml:space="preserve">by bylo ustanovení § 4a zrušeno. K podání návrhu na zrušení zákona </w:t>
      </w:r>
      <w:r w:rsidRPr="00536449">
        <w:rPr>
          <w:color w:val="000000"/>
        </w:rPr>
        <w:t>je oprávněna mj. i skupina 41 poslanců.</w:t>
      </w:r>
    </w:p>
    <w:p w:rsidR="002061A3" w:rsidRPr="00536449" w:rsidRDefault="002061A3" w:rsidP="002061A3">
      <w:pPr>
        <w:pStyle w:val="Odstavecseseznamem"/>
        <w:spacing w:before="100" w:beforeAutospacing="1" w:after="100" w:afterAutospacing="1" w:line="240" w:lineRule="auto"/>
        <w:ind w:left="360"/>
        <w:jc w:val="both"/>
        <w:rPr>
          <w:bCs/>
        </w:rPr>
      </w:pPr>
    </w:p>
    <w:p w:rsidR="002061A3" w:rsidRPr="00536449" w:rsidRDefault="002061A3" w:rsidP="002061A3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bCs/>
        </w:rPr>
      </w:pPr>
      <w:bookmarkStart w:id="0" w:name="_GoBack"/>
      <w:r w:rsidRPr="00090986">
        <w:rPr>
          <w:bCs/>
        </w:rPr>
        <w:t xml:space="preserve">Řešením </w:t>
      </w:r>
      <w:r>
        <w:rPr>
          <w:bCs/>
        </w:rPr>
        <w:t xml:space="preserve">pochybností o ústavnosti § 4a zákona </w:t>
      </w:r>
      <w:r w:rsidRPr="00090986">
        <w:rPr>
          <w:bCs/>
        </w:rPr>
        <w:t>je především urychlená novelizace daného ustanovení, tak aby pochybnosti byly odstraněny.</w:t>
      </w:r>
      <w:r>
        <w:rPr>
          <w:bCs/>
        </w:rPr>
        <w:t xml:space="preserve"> Za vhodné naopak nepovažujeme nepřijetí zákona jako celku, jelikož pochybnosti o ústavnosti se týkají jen jednoho ustanovení rozsáhlé a dlouho připravované novely zákon o střetu zájmů, přičemž neústavnost §4a byla opakovaně namítána a nedošlo ke změnám ve formulaci ustanovení § 4a navzdory projednání v obou komorách Parlamentu ČR.</w:t>
      </w:r>
      <w:bookmarkEnd w:id="0"/>
    </w:p>
    <w:p w:rsidR="002061A3" w:rsidRPr="00090986" w:rsidRDefault="002061A3" w:rsidP="002061A3">
      <w:pPr>
        <w:pStyle w:val="Odstavecseseznamem"/>
        <w:spacing w:after="0"/>
        <w:ind w:left="360"/>
        <w:jc w:val="both"/>
        <w:rPr>
          <w:rFonts w:eastAsia="Times New Roman" w:cs="Times New Roman"/>
          <w:lang w:eastAsia="cs-CZ"/>
        </w:rPr>
      </w:pPr>
    </w:p>
    <w:p w:rsidR="002061A3" w:rsidRPr="00090986" w:rsidRDefault="002061A3" w:rsidP="002061A3">
      <w:pPr>
        <w:spacing w:after="0"/>
        <w:contextualSpacing/>
        <w:jc w:val="both"/>
      </w:pPr>
      <w:r>
        <w:lastRenderedPageBreak/>
        <w:t>Připravila pracovní skupina Rekonstrukce státu ve složení Marek Zelenka, Magdalena Klimešová, Lukáš Kraus a Josef Karlický dne 28. 11. 2016.</w:t>
      </w:r>
    </w:p>
    <w:p w:rsidR="002061A3" w:rsidRPr="00AB707A" w:rsidRDefault="002061A3" w:rsidP="002061A3">
      <w:pPr>
        <w:spacing w:before="100" w:beforeAutospacing="1" w:after="100" w:afterAutospacing="1" w:line="240" w:lineRule="auto"/>
        <w:jc w:val="both"/>
        <w:textAlignment w:val="top"/>
        <w:rPr>
          <w:rFonts w:eastAsia="Times New Roman" w:cs="Times New Roman"/>
          <w:color w:val="232224"/>
          <w:lang w:eastAsia="cs-CZ"/>
        </w:rPr>
      </w:pPr>
    </w:p>
    <w:p w:rsidR="00C2759F" w:rsidRPr="002061A3" w:rsidRDefault="00C2759F" w:rsidP="002061A3">
      <w:pPr>
        <w:jc w:val="both"/>
      </w:pPr>
    </w:p>
    <w:p w:rsidR="002061A3" w:rsidRPr="002061A3" w:rsidRDefault="002061A3">
      <w:pPr>
        <w:jc w:val="both"/>
      </w:pPr>
    </w:p>
    <w:sectPr w:rsidR="002061A3" w:rsidRPr="002061A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DE" w:rsidRDefault="00A763DE" w:rsidP="00305558">
      <w:pPr>
        <w:spacing w:after="0" w:line="240" w:lineRule="auto"/>
      </w:pPr>
      <w:r>
        <w:separator/>
      </w:r>
    </w:p>
  </w:endnote>
  <w:endnote w:type="continuationSeparator" w:id="0">
    <w:p w:rsidR="00A763DE" w:rsidRDefault="00A763DE" w:rsidP="0030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76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558" w:rsidRDefault="0030555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558" w:rsidRDefault="003055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DE" w:rsidRDefault="00A763DE" w:rsidP="00305558">
      <w:pPr>
        <w:spacing w:after="0" w:line="240" w:lineRule="auto"/>
      </w:pPr>
      <w:r>
        <w:separator/>
      </w:r>
    </w:p>
  </w:footnote>
  <w:footnote w:type="continuationSeparator" w:id="0">
    <w:p w:rsidR="00A763DE" w:rsidRDefault="00A763DE" w:rsidP="0030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58" w:rsidRDefault="003055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F014D40" wp14:editId="0FFD4707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1381125" cy="361950"/>
          <wp:effectExtent l="0" t="0" r="0" b="0"/>
          <wp:wrapTight wrapText="bothSides">
            <wp:wrapPolygon edited="0">
              <wp:start x="16684" y="0"/>
              <wp:lineTo x="298" y="1137"/>
              <wp:lineTo x="298" y="11368"/>
              <wp:lineTo x="9236" y="18189"/>
              <wp:lineTo x="9832" y="20463"/>
              <wp:lineTo x="20259" y="20463"/>
              <wp:lineTo x="21153" y="10232"/>
              <wp:lineTo x="20557" y="4547"/>
              <wp:lineTo x="18770" y="0"/>
              <wp:lineTo x="16684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T_logo_pruhled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F12"/>
    <w:multiLevelType w:val="hybridMultilevel"/>
    <w:tmpl w:val="2B12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5E"/>
    <w:multiLevelType w:val="hybridMultilevel"/>
    <w:tmpl w:val="E54A06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77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822C9A"/>
    <w:multiLevelType w:val="hybridMultilevel"/>
    <w:tmpl w:val="308E27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B267F"/>
    <w:multiLevelType w:val="hybridMultilevel"/>
    <w:tmpl w:val="C7909DE8"/>
    <w:lvl w:ilvl="0" w:tplc="7CB8230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04" w:hanging="360"/>
      </w:pPr>
    </w:lvl>
    <w:lvl w:ilvl="2" w:tplc="0C07001B" w:tentative="1">
      <w:start w:val="1"/>
      <w:numFmt w:val="lowerRoman"/>
      <w:lvlText w:val="%3."/>
      <w:lvlJc w:val="right"/>
      <w:pPr>
        <w:ind w:left="1724" w:hanging="180"/>
      </w:pPr>
    </w:lvl>
    <w:lvl w:ilvl="3" w:tplc="0C07000F" w:tentative="1">
      <w:start w:val="1"/>
      <w:numFmt w:val="decimal"/>
      <w:lvlText w:val="%4."/>
      <w:lvlJc w:val="left"/>
      <w:pPr>
        <w:ind w:left="2444" w:hanging="360"/>
      </w:pPr>
    </w:lvl>
    <w:lvl w:ilvl="4" w:tplc="0C070019" w:tentative="1">
      <w:start w:val="1"/>
      <w:numFmt w:val="lowerLetter"/>
      <w:lvlText w:val="%5."/>
      <w:lvlJc w:val="left"/>
      <w:pPr>
        <w:ind w:left="3164" w:hanging="360"/>
      </w:pPr>
    </w:lvl>
    <w:lvl w:ilvl="5" w:tplc="0C07001B" w:tentative="1">
      <w:start w:val="1"/>
      <w:numFmt w:val="lowerRoman"/>
      <w:lvlText w:val="%6."/>
      <w:lvlJc w:val="right"/>
      <w:pPr>
        <w:ind w:left="3884" w:hanging="180"/>
      </w:pPr>
    </w:lvl>
    <w:lvl w:ilvl="6" w:tplc="0C07000F" w:tentative="1">
      <w:start w:val="1"/>
      <w:numFmt w:val="decimal"/>
      <w:lvlText w:val="%7."/>
      <w:lvlJc w:val="left"/>
      <w:pPr>
        <w:ind w:left="4604" w:hanging="360"/>
      </w:pPr>
    </w:lvl>
    <w:lvl w:ilvl="7" w:tplc="0C070019" w:tentative="1">
      <w:start w:val="1"/>
      <w:numFmt w:val="lowerLetter"/>
      <w:lvlText w:val="%8."/>
      <w:lvlJc w:val="left"/>
      <w:pPr>
        <w:ind w:left="5324" w:hanging="360"/>
      </w:pPr>
    </w:lvl>
    <w:lvl w:ilvl="8" w:tplc="0C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1E63943"/>
    <w:multiLevelType w:val="hybridMultilevel"/>
    <w:tmpl w:val="C2721F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65CEC"/>
    <w:multiLevelType w:val="hybridMultilevel"/>
    <w:tmpl w:val="DB44430C"/>
    <w:lvl w:ilvl="0" w:tplc="0C070011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59B0"/>
    <w:multiLevelType w:val="hybridMultilevel"/>
    <w:tmpl w:val="DDD01A34"/>
    <w:lvl w:ilvl="0" w:tplc="4600EDA6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516C47"/>
    <w:multiLevelType w:val="hybridMultilevel"/>
    <w:tmpl w:val="9FBEB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3883"/>
    <w:multiLevelType w:val="hybridMultilevel"/>
    <w:tmpl w:val="18B2A9C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58"/>
    <w:rsid w:val="00002925"/>
    <w:rsid w:val="000043EA"/>
    <w:rsid w:val="002061A3"/>
    <w:rsid w:val="0028510E"/>
    <w:rsid w:val="002F1F71"/>
    <w:rsid w:val="00305558"/>
    <w:rsid w:val="00341A6C"/>
    <w:rsid w:val="004253D3"/>
    <w:rsid w:val="00457CA4"/>
    <w:rsid w:val="004F7B21"/>
    <w:rsid w:val="00512858"/>
    <w:rsid w:val="005C5DA7"/>
    <w:rsid w:val="006302E7"/>
    <w:rsid w:val="00726749"/>
    <w:rsid w:val="007662B1"/>
    <w:rsid w:val="007B1B31"/>
    <w:rsid w:val="00916FA7"/>
    <w:rsid w:val="00967871"/>
    <w:rsid w:val="009831DF"/>
    <w:rsid w:val="009F119A"/>
    <w:rsid w:val="00A763DE"/>
    <w:rsid w:val="00AA5F68"/>
    <w:rsid w:val="00B96D66"/>
    <w:rsid w:val="00BF3765"/>
    <w:rsid w:val="00C2759F"/>
    <w:rsid w:val="00D11D7A"/>
    <w:rsid w:val="00D35F39"/>
    <w:rsid w:val="00EC4DA5"/>
    <w:rsid w:val="00E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59F"/>
    <w:pPr>
      <w:spacing w:after="200" w:line="276" w:lineRule="auto"/>
    </w:pPr>
    <w:rPr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7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759F"/>
    <w:rPr>
      <w:rFonts w:asciiTheme="majorHAnsi" w:eastAsiaTheme="majorEastAsia" w:hAnsiTheme="majorHAnsi" w:cstheme="majorBidi"/>
      <w:b/>
      <w:sz w:val="26"/>
      <w:szCs w:val="26"/>
      <w:lang w:val="cs-CZ"/>
    </w:rPr>
  </w:style>
  <w:style w:type="paragraph" w:styleId="Odstavecseseznamem">
    <w:name w:val="List Paragraph"/>
    <w:basedOn w:val="Normln"/>
    <w:uiPriority w:val="34"/>
    <w:qFormat/>
    <w:rsid w:val="00C275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55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0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558"/>
    <w:rPr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1F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1F71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F1F7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F1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F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F71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F71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F71"/>
    <w:rPr>
      <w:rFonts w:ascii="Segoe UI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59F"/>
    <w:pPr>
      <w:spacing w:after="200" w:line="276" w:lineRule="auto"/>
    </w:pPr>
    <w:rPr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7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759F"/>
    <w:rPr>
      <w:rFonts w:asciiTheme="majorHAnsi" w:eastAsiaTheme="majorEastAsia" w:hAnsiTheme="majorHAnsi" w:cstheme="majorBidi"/>
      <w:b/>
      <w:sz w:val="26"/>
      <w:szCs w:val="26"/>
      <w:lang w:val="cs-CZ"/>
    </w:rPr>
  </w:style>
  <w:style w:type="paragraph" w:styleId="Odstavecseseznamem">
    <w:name w:val="List Paragraph"/>
    <w:basedOn w:val="Normln"/>
    <w:uiPriority w:val="34"/>
    <w:qFormat/>
    <w:rsid w:val="00C275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55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0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558"/>
    <w:rPr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1F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1F71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F1F7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F1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F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F71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F71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F7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B528-F347-4653-AC19-A6821780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Simral</dc:creator>
  <cp:lastModifiedBy>Jirka</cp:lastModifiedBy>
  <cp:revision>2</cp:revision>
  <cp:lastPrinted>2016-03-30T05:31:00Z</cp:lastPrinted>
  <dcterms:created xsi:type="dcterms:W3CDTF">2016-11-29T09:46:00Z</dcterms:created>
  <dcterms:modified xsi:type="dcterms:W3CDTF">2016-11-29T09:46:00Z</dcterms:modified>
</cp:coreProperties>
</file>