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A06200" w14:textId="77777777" w:rsidR="007107F3" w:rsidRDefault="007107F3" w:rsidP="0010475E">
      <w:pPr>
        <w:spacing w:after="0" w:line="240" w:lineRule="auto"/>
        <w:jc w:val="both"/>
        <w:rPr>
          <w:b/>
          <w:sz w:val="26"/>
          <w:szCs w:val="26"/>
        </w:rPr>
      </w:pPr>
    </w:p>
    <w:p w14:paraId="3ADC3B7E" w14:textId="77777777" w:rsidR="007107F3" w:rsidRDefault="007107F3" w:rsidP="0010475E">
      <w:pPr>
        <w:spacing w:after="0" w:line="240" w:lineRule="auto"/>
        <w:jc w:val="both"/>
        <w:rPr>
          <w:b/>
          <w:sz w:val="26"/>
          <w:szCs w:val="26"/>
        </w:rPr>
      </w:pPr>
    </w:p>
    <w:p w14:paraId="6602369F" w14:textId="7F8447D1" w:rsidR="00701431" w:rsidRPr="008B01FC" w:rsidRDefault="008B01FC" w:rsidP="0010475E">
      <w:pPr>
        <w:spacing w:after="0" w:line="24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Legislativní teze – Novela </w:t>
      </w:r>
      <w:r w:rsidR="00701431" w:rsidRPr="008E50EC">
        <w:rPr>
          <w:b/>
          <w:sz w:val="26"/>
          <w:szCs w:val="26"/>
        </w:rPr>
        <w:t xml:space="preserve">zákona </w:t>
      </w:r>
      <w:r w:rsidR="00AA2B95">
        <w:rPr>
          <w:b/>
          <w:sz w:val="26"/>
          <w:szCs w:val="26"/>
        </w:rPr>
        <w:t xml:space="preserve">č. </w:t>
      </w:r>
      <w:r w:rsidR="00701431" w:rsidRPr="008E50EC">
        <w:rPr>
          <w:b/>
          <w:sz w:val="26"/>
          <w:szCs w:val="26"/>
        </w:rPr>
        <w:t>424/1991 Sb.,</w:t>
      </w:r>
      <w:r>
        <w:rPr>
          <w:b/>
          <w:sz w:val="26"/>
          <w:szCs w:val="26"/>
        </w:rPr>
        <w:t xml:space="preserve"> </w:t>
      </w:r>
      <w:r w:rsidR="00701431" w:rsidRPr="00862EB1">
        <w:rPr>
          <w:b/>
          <w:spacing w:val="-4"/>
          <w:sz w:val="26"/>
          <w:szCs w:val="26"/>
        </w:rPr>
        <w:t>o sdružování v politických stranách a politických hnutích</w:t>
      </w:r>
      <w:r w:rsidR="00E02711" w:rsidRPr="00862EB1">
        <w:rPr>
          <w:b/>
          <w:spacing w:val="-4"/>
          <w:sz w:val="26"/>
          <w:szCs w:val="26"/>
        </w:rPr>
        <w:t>, a novel</w:t>
      </w:r>
      <w:r>
        <w:rPr>
          <w:b/>
          <w:spacing w:val="-4"/>
          <w:sz w:val="26"/>
          <w:szCs w:val="26"/>
        </w:rPr>
        <w:t>y</w:t>
      </w:r>
      <w:r w:rsidR="00031349" w:rsidRPr="00862EB1">
        <w:rPr>
          <w:b/>
          <w:spacing w:val="-4"/>
          <w:sz w:val="26"/>
          <w:szCs w:val="26"/>
        </w:rPr>
        <w:t xml:space="preserve"> volebních zákonů</w:t>
      </w:r>
      <w:r w:rsidR="008E50EC" w:rsidRPr="00862EB1">
        <w:rPr>
          <w:b/>
          <w:spacing w:val="-4"/>
          <w:sz w:val="26"/>
          <w:szCs w:val="26"/>
        </w:rPr>
        <w:t xml:space="preserve"> </w:t>
      </w:r>
    </w:p>
    <w:p w14:paraId="00CA7DAA" w14:textId="74BF4886" w:rsidR="00F06B05" w:rsidRDefault="008B01FC" w:rsidP="0010475E">
      <w:pPr>
        <w:spacing w:after="0" w:line="240" w:lineRule="auto"/>
        <w:jc w:val="both"/>
      </w:pPr>
      <w:r>
        <w:t>Verze k datu 7. 1. 2016</w:t>
      </w:r>
    </w:p>
    <w:p w14:paraId="0AB2562B" w14:textId="77777777" w:rsidR="00B26D58" w:rsidRDefault="00B26D58" w:rsidP="0010475E">
      <w:pPr>
        <w:spacing w:after="0" w:line="240" w:lineRule="auto"/>
        <w:jc w:val="both"/>
      </w:pPr>
    </w:p>
    <w:p w14:paraId="1837E0A5" w14:textId="32B1CE2B" w:rsidR="00432B74" w:rsidRDefault="008B01FC" w:rsidP="00051718">
      <w:pPr>
        <w:jc w:val="both"/>
      </w:pPr>
      <w:r>
        <w:t xml:space="preserve">Tento dokument je návrhem úpravy vladního návrhu novelizace zákona o </w:t>
      </w:r>
      <w:r w:rsidRPr="008B01FC">
        <w:t>sdružování v politických stranách a politických hnutích</w:t>
      </w:r>
      <w:r>
        <w:t xml:space="preserve"> a volebních zákonů. Návrh Rekonstrukce státu odstraňuje některé n</w:t>
      </w:r>
      <w:r>
        <w:t>e</w:t>
      </w:r>
      <w:r>
        <w:t>dostatky vladního návrhu, které ohrožují efektivitu reformy jako celku, a to zejména</w:t>
      </w:r>
    </w:p>
    <w:p w14:paraId="06F1BBF4" w14:textId="77777777" w:rsidR="008B01FC" w:rsidRPr="008B01FC" w:rsidRDefault="008B01FC" w:rsidP="00051718">
      <w:pPr>
        <w:spacing w:after="0"/>
        <w:jc w:val="both"/>
        <w:rPr>
          <w:b/>
        </w:rPr>
      </w:pPr>
      <w:r w:rsidRPr="008B01FC">
        <w:rPr>
          <w:b/>
        </w:rPr>
        <w:t>1) neodůvodněné výjimky u finančních operací, jež nebudou vedeny přes transparentní účty stran,</w:t>
      </w:r>
    </w:p>
    <w:p w14:paraId="02C44494" w14:textId="77777777" w:rsidR="008B01FC" w:rsidRPr="008B01FC" w:rsidRDefault="008B01FC" w:rsidP="00051718">
      <w:pPr>
        <w:spacing w:after="0"/>
        <w:jc w:val="both"/>
        <w:rPr>
          <w:b/>
        </w:rPr>
      </w:pPr>
      <w:r w:rsidRPr="008B01FC">
        <w:rPr>
          <w:b/>
        </w:rPr>
        <w:t>2) nedostatečnou kontrolu obchodních společností a družstev napojených na politické strany,</w:t>
      </w:r>
    </w:p>
    <w:p w14:paraId="3E879970" w14:textId="77777777" w:rsidR="008B01FC" w:rsidRPr="008B01FC" w:rsidRDefault="008B01FC" w:rsidP="00051718">
      <w:pPr>
        <w:spacing w:after="0"/>
        <w:jc w:val="both"/>
        <w:rPr>
          <w:b/>
        </w:rPr>
      </w:pPr>
      <w:r w:rsidRPr="008B01FC">
        <w:rPr>
          <w:b/>
        </w:rPr>
        <w:t>3) nedořešené podmínky fungování politických institutů,</w:t>
      </w:r>
    </w:p>
    <w:p w14:paraId="6E99401C" w14:textId="6B14CB7E" w:rsidR="00432B74" w:rsidRDefault="008B01FC" w:rsidP="00051718">
      <w:pPr>
        <w:jc w:val="both"/>
        <w:rPr>
          <w:b/>
        </w:rPr>
      </w:pPr>
      <w:r w:rsidRPr="008B01FC">
        <w:rPr>
          <w:b/>
        </w:rPr>
        <w:t>4) malý rozsah možných sankcí, kdy hrozí jejich neúčinnost.</w:t>
      </w:r>
    </w:p>
    <w:p w14:paraId="331B6F15" w14:textId="77777777" w:rsidR="0094231D" w:rsidRDefault="0094231D" w:rsidP="00B6571E">
      <w:pPr>
        <w:spacing w:line="240" w:lineRule="auto"/>
        <w:jc w:val="both"/>
        <w:rPr>
          <w:b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cs-CZ"/>
        </w:rPr>
        <w:id w:val="749624359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5EB1FC33" w14:textId="3A2B90D9" w:rsidR="00D16B40" w:rsidRPr="00D16B40" w:rsidRDefault="00D16B40">
          <w:pPr>
            <w:pStyle w:val="Nadpisobsahu"/>
            <w:rPr>
              <w:rStyle w:val="Nadpis3Char"/>
              <w:color w:val="auto"/>
            </w:rPr>
          </w:pPr>
          <w:proofErr w:type="spellStart"/>
          <w:r w:rsidRPr="00D16B40">
            <w:rPr>
              <w:rStyle w:val="Nadpis3Char"/>
              <w:color w:val="auto"/>
            </w:rPr>
            <w:t>Obsah</w:t>
          </w:r>
          <w:proofErr w:type="spellEnd"/>
        </w:p>
        <w:p w14:paraId="45ACA755" w14:textId="77777777" w:rsidR="0094231D" w:rsidRDefault="00D16B40">
          <w:pPr>
            <w:pStyle w:val="Obsah3"/>
            <w:tabs>
              <w:tab w:val="right" w:leader="dot" w:pos="9062"/>
            </w:tabs>
            <w:rPr>
              <w:rFonts w:eastAsiaTheme="minorEastAsia"/>
              <w:noProof/>
              <w:lang w:val="de-AT" w:eastAsia="de-AT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39945182" w:history="1">
            <w:r w:rsidR="0094231D" w:rsidRPr="00652668">
              <w:rPr>
                <w:rStyle w:val="Hypertextovodkaz"/>
                <w:noProof/>
              </w:rPr>
              <w:t>Přílohy</w:t>
            </w:r>
            <w:r w:rsidR="0094231D">
              <w:rPr>
                <w:noProof/>
                <w:webHidden/>
              </w:rPr>
              <w:tab/>
            </w:r>
            <w:r w:rsidR="0094231D">
              <w:rPr>
                <w:noProof/>
                <w:webHidden/>
              </w:rPr>
              <w:fldChar w:fldCharType="begin"/>
            </w:r>
            <w:r w:rsidR="0094231D">
              <w:rPr>
                <w:noProof/>
                <w:webHidden/>
              </w:rPr>
              <w:instrText xml:space="preserve"> PAGEREF _Toc439945182 \h </w:instrText>
            </w:r>
            <w:r w:rsidR="0094231D">
              <w:rPr>
                <w:noProof/>
                <w:webHidden/>
              </w:rPr>
            </w:r>
            <w:r w:rsidR="0094231D">
              <w:rPr>
                <w:noProof/>
                <w:webHidden/>
              </w:rPr>
              <w:fldChar w:fldCharType="separate"/>
            </w:r>
            <w:r w:rsidR="0094231D">
              <w:rPr>
                <w:noProof/>
                <w:webHidden/>
              </w:rPr>
              <w:t>1</w:t>
            </w:r>
            <w:r w:rsidR="0094231D">
              <w:rPr>
                <w:noProof/>
                <w:webHidden/>
              </w:rPr>
              <w:fldChar w:fldCharType="end"/>
            </w:r>
          </w:hyperlink>
        </w:p>
        <w:p w14:paraId="0B9C46BE" w14:textId="76309039" w:rsidR="0094231D" w:rsidRDefault="005D3E02">
          <w:pPr>
            <w:pStyle w:val="Obsah3"/>
            <w:tabs>
              <w:tab w:val="right" w:leader="dot" w:pos="9062"/>
            </w:tabs>
            <w:rPr>
              <w:rFonts w:eastAsiaTheme="minorEastAsia"/>
              <w:noProof/>
              <w:lang w:val="de-AT" w:eastAsia="de-AT"/>
            </w:rPr>
          </w:pPr>
          <w:hyperlink w:anchor="_Toc439945183" w:history="1">
            <w:r w:rsidR="0094231D" w:rsidRPr="00652668">
              <w:rPr>
                <w:rStyle w:val="Hypertextovodkaz"/>
                <w:noProof/>
              </w:rPr>
              <w:t>Vládní návrh novelizace zákona o sdružování v politických stranách</w:t>
            </w:r>
            <w:r w:rsidR="00AB5664">
              <w:rPr>
                <w:rStyle w:val="Hypertextovodkaz"/>
                <w:noProof/>
              </w:rPr>
              <w:t xml:space="preserve"> </w:t>
            </w:r>
            <w:r w:rsidR="0094231D" w:rsidRPr="00652668">
              <w:rPr>
                <w:rStyle w:val="Hypertextovodkaz"/>
                <w:noProof/>
              </w:rPr>
              <w:t>a volebních zákonů</w:t>
            </w:r>
            <w:r w:rsidR="0094231D">
              <w:rPr>
                <w:noProof/>
                <w:webHidden/>
              </w:rPr>
              <w:tab/>
            </w:r>
            <w:r w:rsidR="0094231D">
              <w:rPr>
                <w:noProof/>
                <w:webHidden/>
              </w:rPr>
              <w:fldChar w:fldCharType="begin"/>
            </w:r>
            <w:r w:rsidR="0094231D">
              <w:rPr>
                <w:noProof/>
                <w:webHidden/>
              </w:rPr>
              <w:instrText xml:space="preserve"> PAGEREF _Toc439945183 \h </w:instrText>
            </w:r>
            <w:r w:rsidR="0094231D">
              <w:rPr>
                <w:noProof/>
                <w:webHidden/>
              </w:rPr>
            </w:r>
            <w:r w:rsidR="0094231D">
              <w:rPr>
                <w:noProof/>
                <w:webHidden/>
              </w:rPr>
              <w:fldChar w:fldCharType="separate"/>
            </w:r>
            <w:r w:rsidR="0094231D">
              <w:rPr>
                <w:noProof/>
                <w:webHidden/>
              </w:rPr>
              <w:t>2</w:t>
            </w:r>
            <w:r w:rsidR="0094231D">
              <w:rPr>
                <w:noProof/>
                <w:webHidden/>
              </w:rPr>
              <w:fldChar w:fldCharType="end"/>
            </w:r>
          </w:hyperlink>
        </w:p>
        <w:p w14:paraId="055298DB" w14:textId="77777777" w:rsidR="0094231D" w:rsidRDefault="005D3E02">
          <w:pPr>
            <w:pStyle w:val="Obsah3"/>
            <w:tabs>
              <w:tab w:val="right" w:leader="dot" w:pos="9062"/>
            </w:tabs>
            <w:rPr>
              <w:rFonts w:eastAsiaTheme="minorEastAsia"/>
              <w:noProof/>
              <w:lang w:val="de-AT" w:eastAsia="de-AT"/>
            </w:rPr>
          </w:pPr>
          <w:hyperlink w:anchor="_Toc439945184" w:history="1">
            <w:r w:rsidR="0094231D" w:rsidRPr="00652668">
              <w:rPr>
                <w:rStyle w:val="Hypertextovodkaz"/>
                <w:noProof/>
              </w:rPr>
              <w:t>GRECO doporučení</w:t>
            </w:r>
            <w:r w:rsidR="0094231D">
              <w:rPr>
                <w:noProof/>
                <w:webHidden/>
              </w:rPr>
              <w:tab/>
            </w:r>
            <w:r w:rsidR="0094231D">
              <w:rPr>
                <w:noProof/>
                <w:webHidden/>
              </w:rPr>
              <w:fldChar w:fldCharType="begin"/>
            </w:r>
            <w:r w:rsidR="0094231D">
              <w:rPr>
                <w:noProof/>
                <w:webHidden/>
              </w:rPr>
              <w:instrText xml:space="preserve"> PAGEREF _Toc439945184 \h </w:instrText>
            </w:r>
            <w:r w:rsidR="0094231D">
              <w:rPr>
                <w:noProof/>
                <w:webHidden/>
              </w:rPr>
            </w:r>
            <w:r w:rsidR="0094231D">
              <w:rPr>
                <w:noProof/>
                <w:webHidden/>
              </w:rPr>
              <w:fldChar w:fldCharType="separate"/>
            </w:r>
            <w:r w:rsidR="0094231D">
              <w:rPr>
                <w:noProof/>
                <w:webHidden/>
              </w:rPr>
              <w:t>3</w:t>
            </w:r>
            <w:r w:rsidR="0094231D">
              <w:rPr>
                <w:noProof/>
                <w:webHidden/>
              </w:rPr>
              <w:fldChar w:fldCharType="end"/>
            </w:r>
          </w:hyperlink>
        </w:p>
        <w:p w14:paraId="4CBEB504" w14:textId="77777777" w:rsidR="0094231D" w:rsidRDefault="005D3E02">
          <w:pPr>
            <w:pStyle w:val="Obsah3"/>
            <w:tabs>
              <w:tab w:val="right" w:leader="dot" w:pos="9062"/>
            </w:tabs>
            <w:rPr>
              <w:rFonts w:eastAsiaTheme="minorEastAsia"/>
              <w:noProof/>
              <w:lang w:val="de-AT" w:eastAsia="de-AT"/>
            </w:rPr>
          </w:pPr>
          <w:hyperlink w:anchor="_Toc439945185" w:history="1">
            <w:r w:rsidR="0094231D" w:rsidRPr="00652668">
              <w:rPr>
                <w:rStyle w:val="Hypertextovodkaz"/>
                <w:noProof/>
              </w:rPr>
              <w:t>Další doporučení Rekonstrukce státu</w:t>
            </w:r>
            <w:r w:rsidR="0094231D">
              <w:rPr>
                <w:noProof/>
                <w:webHidden/>
              </w:rPr>
              <w:tab/>
            </w:r>
            <w:r w:rsidR="0094231D">
              <w:rPr>
                <w:noProof/>
                <w:webHidden/>
              </w:rPr>
              <w:fldChar w:fldCharType="begin"/>
            </w:r>
            <w:r w:rsidR="0094231D">
              <w:rPr>
                <w:noProof/>
                <w:webHidden/>
              </w:rPr>
              <w:instrText xml:space="preserve"> PAGEREF _Toc439945185 \h </w:instrText>
            </w:r>
            <w:r w:rsidR="0094231D">
              <w:rPr>
                <w:noProof/>
                <w:webHidden/>
              </w:rPr>
            </w:r>
            <w:r w:rsidR="0094231D">
              <w:rPr>
                <w:noProof/>
                <w:webHidden/>
              </w:rPr>
              <w:fldChar w:fldCharType="separate"/>
            </w:r>
            <w:r w:rsidR="0094231D">
              <w:rPr>
                <w:noProof/>
                <w:webHidden/>
              </w:rPr>
              <w:t>6</w:t>
            </w:r>
            <w:r w:rsidR="0094231D">
              <w:rPr>
                <w:noProof/>
                <w:webHidden/>
              </w:rPr>
              <w:fldChar w:fldCharType="end"/>
            </w:r>
          </w:hyperlink>
        </w:p>
        <w:p w14:paraId="7D73C471" w14:textId="2612D4BE" w:rsidR="00D16B40" w:rsidRPr="00D16B40" w:rsidRDefault="00D16B40" w:rsidP="00D16B40">
          <w:r>
            <w:rPr>
              <w:b/>
              <w:bCs/>
              <w:noProof/>
            </w:rPr>
            <w:fldChar w:fldCharType="end"/>
          </w:r>
        </w:p>
      </w:sdtContent>
    </w:sdt>
    <w:p w14:paraId="4071F38D" w14:textId="10ABF7CC" w:rsidR="00432B74" w:rsidRDefault="00432B74" w:rsidP="00D16B40">
      <w:pPr>
        <w:pStyle w:val="Nadpis3"/>
      </w:pPr>
      <w:bookmarkStart w:id="0" w:name="_Toc439945182"/>
      <w:r>
        <w:t>Přílohy</w:t>
      </w:r>
      <w:bookmarkEnd w:id="0"/>
    </w:p>
    <w:p w14:paraId="617D893D" w14:textId="314808BE" w:rsidR="00432B74" w:rsidRDefault="00432B74" w:rsidP="0094231D">
      <w:pPr>
        <w:spacing w:line="240" w:lineRule="auto"/>
      </w:pPr>
      <w:r>
        <w:t>Shrnuti – problémy novel a navržená řešení</w:t>
      </w:r>
    </w:p>
    <w:p w14:paraId="2E3F518A" w14:textId="613B6B0D" w:rsidR="00432B74" w:rsidRDefault="00432B74" w:rsidP="0094231D">
      <w:pPr>
        <w:spacing w:line="240" w:lineRule="auto"/>
        <w:jc w:val="both"/>
      </w:pPr>
      <w:r>
        <w:t>Text vládního návrhu novelizovaných zákonů v platném znění s vyznačením změn doporučených R</w:t>
      </w:r>
      <w:r>
        <w:t>e</w:t>
      </w:r>
      <w:r>
        <w:t>konstrukcí státu</w:t>
      </w:r>
      <w:r w:rsidR="0094231D">
        <w:t xml:space="preserve"> a s komentáři Rekonstrukce státu</w:t>
      </w:r>
    </w:p>
    <w:p w14:paraId="3E813D90" w14:textId="77777777" w:rsidR="0094231D" w:rsidRPr="00432B74" w:rsidRDefault="0094231D" w:rsidP="0094231D">
      <w:pPr>
        <w:spacing w:line="240" w:lineRule="auto"/>
        <w:jc w:val="both"/>
      </w:pPr>
    </w:p>
    <w:p w14:paraId="781DFEC2" w14:textId="77777777" w:rsidR="0094231D" w:rsidRDefault="0094231D">
      <w:pPr>
        <w:spacing w:after="0" w:line="240" w:lineRule="auto"/>
        <w:rPr>
          <w:rFonts w:eastAsiaTheme="majorEastAsia" w:cstheme="majorBidi"/>
          <w:b/>
          <w:sz w:val="24"/>
          <w:szCs w:val="24"/>
        </w:rPr>
      </w:pPr>
      <w:bookmarkStart w:id="1" w:name="_Toc439945183"/>
      <w:r>
        <w:br w:type="page"/>
      </w:r>
    </w:p>
    <w:p w14:paraId="2DE33208" w14:textId="77777777" w:rsidR="007107F3" w:rsidRDefault="007107F3" w:rsidP="00D16B40">
      <w:pPr>
        <w:pStyle w:val="Nadpis3"/>
      </w:pPr>
    </w:p>
    <w:p w14:paraId="08FD11A4" w14:textId="357BDFCA" w:rsidR="009374B9" w:rsidRDefault="009374B9" w:rsidP="00D16B40">
      <w:pPr>
        <w:pStyle w:val="Nadpis3"/>
      </w:pPr>
      <w:r>
        <w:t xml:space="preserve">Vládní návrh novelizace </w:t>
      </w:r>
      <w:r w:rsidRPr="009374B9">
        <w:t>zákona č. 424/1991 Sb., o sdružování v politických stranách a pol</w:t>
      </w:r>
      <w:r w:rsidRPr="009374B9">
        <w:t>i</w:t>
      </w:r>
      <w:r w:rsidRPr="009374B9">
        <w:t>tických hnutích, a volebních zákonů</w:t>
      </w:r>
      <w:bookmarkEnd w:id="1"/>
    </w:p>
    <w:p w14:paraId="00032DE8" w14:textId="77777777" w:rsidR="007107F3" w:rsidRPr="007107F3" w:rsidRDefault="007107F3" w:rsidP="007107F3"/>
    <w:p w14:paraId="2AE10491" w14:textId="023AED3E" w:rsidR="009374B9" w:rsidRPr="009374B9" w:rsidRDefault="009374B9" w:rsidP="00B6571E">
      <w:pPr>
        <w:spacing w:line="240" w:lineRule="auto"/>
        <w:jc w:val="both"/>
        <w:rPr>
          <w:spacing w:val="-4"/>
          <w:szCs w:val="28"/>
        </w:rPr>
      </w:pPr>
      <w:r w:rsidRPr="009374B9">
        <w:rPr>
          <w:spacing w:val="-4"/>
          <w:szCs w:val="28"/>
        </w:rPr>
        <w:t xml:space="preserve">Vládou připravený text novel </w:t>
      </w:r>
      <w:r w:rsidRPr="009374B9">
        <w:rPr>
          <w:spacing w:val="-4"/>
          <w:szCs w:val="28"/>
          <w:u w:val="single"/>
        </w:rPr>
        <w:t>z velké části naplňuje parametry prohlášení Rekonstrukce státu</w:t>
      </w:r>
      <w:r w:rsidRPr="009374B9">
        <w:rPr>
          <w:spacing w:val="-4"/>
          <w:szCs w:val="28"/>
        </w:rPr>
        <w:t xml:space="preserve"> k reformě financování politických stran</w:t>
      </w:r>
      <w:r>
        <w:rPr>
          <w:spacing w:val="-4"/>
          <w:szCs w:val="28"/>
        </w:rPr>
        <w:t xml:space="preserve">a </w:t>
      </w:r>
      <w:r w:rsidRPr="009374B9">
        <w:rPr>
          <w:spacing w:val="-4"/>
          <w:szCs w:val="28"/>
          <w:u w:val="single"/>
        </w:rPr>
        <w:t xml:space="preserve">a </w:t>
      </w:r>
      <w:r w:rsidR="00F11042">
        <w:rPr>
          <w:spacing w:val="-4"/>
          <w:szCs w:val="28"/>
          <w:u w:val="single"/>
        </w:rPr>
        <w:t xml:space="preserve">s velkou pravděpodobností </w:t>
      </w:r>
      <w:r w:rsidRPr="009374B9">
        <w:rPr>
          <w:spacing w:val="-4"/>
          <w:szCs w:val="28"/>
          <w:u w:val="single"/>
        </w:rPr>
        <w:t xml:space="preserve">také </w:t>
      </w:r>
      <w:r w:rsidR="00E413AD">
        <w:rPr>
          <w:spacing w:val="-4"/>
          <w:szCs w:val="28"/>
          <w:u w:val="single"/>
        </w:rPr>
        <w:t xml:space="preserve">některá </w:t>
      </w:r>
      <w:r w:rsidRPr="009374B9">
        <w:rPr>
          <w:spacing w:val="-4"/>
          <w:szCs w:val="28"/>
          <w:u w:val="single"/>
        </w:rPr>
        <w:t>doporučení mezinárodní organ</w:t>
      </w:r>
      <w:r w:rsidRPr="009374B9">
        <w:rPr>
          <w:spacing w:val="-4"/>
          <w:szCs w:val="28"/>
          <w:u w:val="single"/>
        </w:rPr>
        <w:t>i</w:t>
      </w:r>
      <w:r w:rsidRPr="009374B9">
        <w:rPr>
          <w:spacing w:val="-4"/>
          <w:szCs w:val="28"/>
          <w:u w:val="single"/>
        </w:rPr>
        <w:t>zace GRECO</w:t>
      </w:r>
      <w:r w:rsidRPr="009374B9">
        <w:rPr>
          <w:spacing w:val="-4"/>
          <w:szCs w:val="28"/>
        </w:rPr>
        <w:t xml:space="preserve">. Pozitivním posunem je především zvýšení transparentnosti financování politických stran a zavedení nezávislé kontroly.  </w:t>
      </w:r>
      <w:r w:rsidRPr="009374B9">
        <w:t xml:space="preserve">Vládou předkládaná novelizace zákona </w:t>
      </w:r>
      <w:r w:rsidRPr="00590441">
        <w:t>č. 424/1991 Sb., o sdružování v politických st</w:t>
      </w:r>
      <w:r>
        <w:t xml:space="preserve">ranách a politických hnutích, a volebních zákonů </w:t>
      </w:r>
      <w:r w:rsidRPr="00051718">
        <w:rPr>
          <w:b/>
          <w:u w:val="single"/>
        </w:rPr>
        <w:t>plně splňuje 7 z 9 doporučení Reko</w:t>
      </w:r>
      <w:r w:rsidRPr="00051718">
        <w:rPr>
          <w:b/>
          <w:u w:val="single"/>
        </w:rPr>
        <w:t>n</w:t>
      </w:r>
      <w:r w:rsidRPr="00051718">
        <w:rPr>
          <w:b/>
          <w:u w:val="single"/>
        </w:rPr>
        <w:t>strukce státu</w:t>
      </w:r>
      <w:r>
        <w:t>:</w:t>
      </w:r>
    </w:p>
    <w:p w14:paraId="1578EAD9" w14:textId="77777777" w:rsidR="009374B9" w:rsidRDefault="009374B9" w:rsidP="0094231D">
      <w:pPr>
        <w:pStyle w:val="Odstavecseseznamem"/>
        <w:numPr>
          <w:ilvl w:val="0"/>
          <w:numId w:val="42"/>
        </w:numPr>
        <w:spacing w:after="0"/>
        <w:jc w:val="both"/>
      </w:pPr>
      <w:r w:rsidRPr="008C737E">
        <w:t xml:space="preserve">samostatný transparentní účet pro veškeré příjmy a výdaje spojené s předvolební kampaní a zveřejnění samostatného vyúčtování výdajů na kampaň, </w:t>
      </w:r>
    </w:p>
    <w:p w14:paraId="5AD634D6" w14:textId="77777777" w:rsidR="009374B9" w:rsidRDefault="009374B9" w:rsidP="0094231D">
      <w:pPr>
        <w:pStyle w:val="Odstavecseseznamem"/>
        <w:numPr>
          <w:ilvl w:val="0"/>
          <w:numId w:val="42"/>
        </w:numPr>
        <w:spacing w:after="0"/>
        <w:jc w:val="both"/>
      </w:pPr>
      <w:r w:rsidRPr="008C737E">
        <w:t xml:space="preserve">výroční a finanční zprávy v elektronické podobě k dispozici online, </w:t>
      </w:r>
    </w:p>
    <w:p w14:paraId="66B5E3CF" w14:textId="77777777" w:rsidR="009374B9" w:rsidRDefault="009374B9" w:rsidP="0094231D">
      <w:pPr>
        <w:pStyle w:val="Odstavecseseznamem"/>
        <w:numPr>
          <w:ilvl w:val="0"/>
          <w:numId w:val="42"/>
        </w:numPr>
        <w:spacing w:after="0"/>
        <w:jc w:val="both"/>
      </w:pPr>
      <w:r w:rsidRPr="008C737E">
        <w:t xml:space="preserve">povinné označení veškeré předvolební inzerce logem/jménem zadavatele, rotace auditorů (maximálně 5 let po sobě), </w:t>
      </w:r>
    </w:p>
    <w:p w14:paraId="6AF175E1" w14:textId="77777777" w:rsidR="009374B9" w:rsidRDefault="009374B9" w:rsidP="0094231D">
      <w:pPr>
        <w:pStyle w:val="Odstavecseseznamem"/>
        <w:numPr>
          <w:ilvl w:val="0"/>
          <w:numId w:val="42"/>
        </w:numPr>
        <w:spacing w:after="0"/>
        <w:jc w:val="both"/>
      </w:pPr>
      <w:r w:rsidRPr="008C737E">
        <w:t>nezávislý kontrolní mechanismus, který bude aktivně prověřovat hospodaření stran a ka</w:t>
      </w:r>
      <w:r w:rsidRPr="008C737E">
        <w:t>m</w:t>
      </w:r>
      <w:r w:rsidRPr="008C737E">
        <w:t>paní (a to i na základě informací z médií či podnětů občanů).</w:t>
      </w:r>
    </w:p>
    <w:p w14:paraId="4C443857" w14:textId="77777777" w:rsidR="009374B9" w:rsidRDefault="009374B9" w:rsidP="0094231D">
      <w:pPr>
        <w:pStyle w:val="Odstavecseseznamem"/>
        <w:numPr>
          <w:ilvl w:val="0"/>
          <w:numId w:val="42"/>
        </w:numPr>
        <w:spacing w:after="0"/>
        <w:jc w:val="both"/>
      </w:pPr>
      <w:r>
        <w:t>veškeré finanční transakce nad 20.000,- Kč pouze bezhotovostně,</w:t>
      </w:r>
    </w:p>
    <w:p w14:paraId="70324854" w14:textId="77777777" w:rsidR="009374B9" w:rsidRDefault="009374B9" w:rsidP="0094231D">
      <w:pPr>
        <w:pStyle w:val="Odstavecseseznamem"/>
        <w:numPr>
          <w:ilvl w:val="0"/>
          <w:numId w:val="42"/>
        </w:numPr>
        <w:spacing w:after="0"/>
        <w:jc w:val="both"/>
      </w:pPr>
      <w:r w:rsidRPr="008C737E">
        <w:t xml:space="preserve">vykazování všech nepeněžních darů ve výroční finanční zprávě s uvedením obvyklé ceny, </w:t>
      </w:r>
    </w:p>
    <w:p w14:paraId="42B3F86C" w14:textId="54590926" w:rsidR="00B36AAE" w:rsidRPr="00B6571E" w:rsidRDefault="009374B9" w:rsidP="0094231D">
      <w:pPr>
        <w:pStyle w:val="Odstavecseseznamem"/>
        <w:numPr>
          <w:ilvl w:val="0"/>
          <w:numId w:val="42"/>
        </w:numPr>
        <w:jc w:val="both"/>
      </w:pPr>
      <w:r>
        <w:t>rotace auditorů (maximálně 5 let po sobě).</w:t>
      </w:r>
    </w:p>
    <w:p w14:paraId="4229CF4D" w14:textId="77777777" w:rsidR="00051718" w:rsidRPr="00051718" w:rsidRDefault="00051718" w:rsidP="00051718">
      <w:pPr>
        <w:spacing w:line="240" w:lineRule="auto"/>
        <w:jc w:val="both"/>
        <w:rPr>
          <w:spacing w:val="-4"/>
          <w:szCs w:val="28"/>
        </w:rPr>
      </w:pPr>
      <w:r w:rsidRPr="00051718">
        <w:rPr>
          <w:spacing w:val="-4"/>
          <w:szCs w:val="28"/>
        </w:rPr>
        <w:t>Jedno doporučení je splněno částečně:</w:t>
      </w:r>
    </w:p>
    <w:p w14:paraId="59029C0E" w14:textId="77777777" w:rsidR="00051718" w:rsidRPr="00051718" w:rsidRDefault="00051718" w:rsidP="00051718">
      <w:pPr>
        <w:spacing w:after="0" w:line="240" w:lineRule="auto"/>
        <w:jc w:val="both"/>
        <w:rPr>
          <w:spacing w:val="-4"/>
          <w:szCs w:val="28"/>
        </w:rPr>
      </w:pPr>
      <w:r w:rsidRPr="00051718">
        <w:rPr>
          <w:spacing w:val="-4"/>
          <w:szCs w:val="28"/>
        </w:rPr>
        <w:t>•</w:t>
      </w:r>
      <w:r w:rsidRPr="00051718">
        <w:rPr>
          <w:spacing w:val="-4"/>
          <w:szCs w:val="28"/>
        </w:rPr>
        <w:tab/>
        <w:t>transparentní účty na veškeré účetnictví,</w:t>
      </w:r>
    </w:p>
    <w:p w14:paraId="5429B22E" w14:textId="0D5ED2E1" w:rsidR="00051718" w:rsidRPr="00051718" w:rsidRDefault="00051718" w:rsidP="00051718">
      <w:pPr>
        <w:spacing w:after="0" w:line="240" w:lineRule="auto"/>
        <w:jc w:val="both"/>
        <w:rPr>
          <w:i/>
          <w:spacing w:val="-4"/>
          <w:szCs w:val="28"/>
        </w:rPr>
      </w:pPr>
      <w:r w:rsidRPr="00051718">
        <w:rPr>
          <w:i/>
          <w:spacing w:val="-4"/>
          <w:szCs w:val="28"/>
        </w:rPr>
        <w:t>Jsou vyjmuty jak pracovněprávní vztahy ke stranám a hnutím, tak provozní výdaje stran a hnutí.</w:t>
      </w:r>
    </w:p>
    <w:p w14:paraId="09CCAB54" w14:textId="77777777" w:rsidR="00051718" w:rsidRDefault="00051718" w:rsidP="00051718">
      <w:pPr>
        <w:spacing w:after="0" w:line="240" w:lineRule="auto"/>
        <w:jc w:val="both"/>
        <w:rPr>
          <w:spacing w:val="-4"/>
          <w:szCs w:val="28"/>
        </w:rPr>
      </w:pPr>
    </w:p>
    <w:p w14:paraId="5EA57A88" w14:textId="77777777" w:rsidR="00051718" w:rsidRPr="00051718" w:rsidRDefault="00051718" w:rsidP="00051718">
      <w:pPr>
        <w:spacing w:line="240" w:lineRule="auto"/>
        <w:jc w:val="both"/>
        <w:rPr>
          <w:spacing w:val="-4"/>
          <w:szCs w:val="28"/>
        </w:rPr>
      </w:pPr>
      <w:r w:rsidRPr="00051718">
        <w:rPr>
          <w:spacing w:val="-4"/>
          <w:szCs w:val="28"/>
        </w:rPr>
        <w:t>Jedno doporučení není splněno vůbec:</w:t>
      </w:r>
    </w:p>
    <w:p w14:paraId="0D5A9BDC" w14:textId="0A1799D0" w:rsidR="00051718" w:rsidRPr="00051718" w:rsidRDefault="00051718" w:rsidP="00051718">
      <w:pPr>
        <w:spacing w:after="0" w:line="240" w:lineRule="auto"/>
        <w:jc w:val="both"/>
        <w:rPr>
          <w:spacing w:val="-4"/>
          <w:szCs w:val="28"/>
        </w:rPr>
      </w:pPr>
      <w:r w:rsidRPr="00051718">
        <w:rPr>
          <w:spacing w:val="-4"/>
          <w:szCs w:val="28"/>
        </w:rPr>
        <w:t>•</w:t>
      </w:r>
      <w:r w:rsidRPr="00051718">
        <w:rPr>
          <w:spacing w:val="-4"/>
          <w:szCs w:val="28"/>
        </w:rPr>
        <w:tab/>
        <w:t>auditování stranických firem podle pravidel, kte</w:t>
      </w:r>
      <w:r>
        <w:rPr>
          <w:spacing w:val="-4"/>
          <w:szCs w:val="28"/>
        </w:rPr>
        <w:t>rá dopadají na politické strany.</w:t>
      </w:r>
    </w:p>
    <w:p w14:paraId="4A51C8A2" w14:textId="129B9D47" w:rsidR="0094231D" w:rsidRPr="0094231D" w:rsidRDefault="0094231D" w:rsidP="00051718">
      <w:pPr>
        <w:spacing w:after="0" w:line="240" w:lineRule="auto"/>
        <w:jc w:val="both"/>
        <w:rPr>
          <w:spacing w:val="-4"/>
          <w:szCs w:val="28"/>
        </w:rPr>
      </w:pPr>
      <w:r w:rsidRPr="0094231D">
        <w:rPr>
          <w:spacing w:val="-4"/>
          <w:szCs w:val="28"/>
        </w:rPr>
        <w:br w:type="page"/>
      </w:r>
    </w:p>
    <w:p w14:paraId="0149EC59" w14:textId="77777777" w:rsidR="007107F3" w:rsidRDefault="007107F3" w:rsidP="0094231D">
      <w:pPr>
        <w:spacing w:line="240" w:lineRule="auto"/>
        <w:jc w:val="both"/>
        <w:rPr>
          <w:i/>
          <w:spacing w:val="-4"/>
          <w:szCs w:val="28"/>
        </w:rPr>
      </w:pPr>
    </w:p>
    <w:p w14:paraId="35B7CD3B" w14:textId="097AE28C" w:rsidR="0094231D" w:rsidRPr="0094231D" w:rsidRDefault="00BB4B89" w:rsidP="0094231D">
      <w:pPr>
        <w:spacing w:line="240" w:lineRule="auto"/>
        <w:jc w:val="both"/>
        <w:rPr>
          <w:i/>
        </w:rPr>
      </w:pPr>
      <w:r w:rsidRPr="0094231D">
        <w:rPr>
          <w:i/>
          <w:spacing w:val="-4"/>
          <w:szCs w:val="28"/>
        </w:rPr>
        <w:t>Protože poslední průbě</w:t>
      </w:r>
      <w:r w:rsidR="00F11042" w:rsidRPr="0094231D">
        <w:rPr>
          <w:i/>
          <w:spacing w:val="-4"/>
          <w:szCs w:val="28"/>
        </w:rPr>
        <w:t xml:space="preserve">žná hodnotící zpráva GRECO o reformě politického financování v České republice za prosince 2015 ještě nebyla zveřejněna, je možné provést pouze hrubý odhad, jak GRECO současný vládní návrh hodnotí. </w:t>
      </w:r>
    </w:p>
    <w:p w14:paraId="691EFF48" w14:textId="67492BFE" w:rsidR="00BB4B89" w:rsidRPr="0094231D" w:rsidRDefault="00BB4B89" w:rsidP="0094231D">
      <w:pPr>
        <w:pStyle w:val="Nadpis3"/>
        <w:rPr>
          <w:spacing w:val="-4"/>
          <w:szCs w:val="28"/>
        </w:rPr>
      </w:pPr>
      <w:bookmarkStart w:id="2" w:name="_Toc439945184"/>
      <w:r w:rsidRPr="00BB4B89">
        <w:t>GRECO doporučení</w:t>
      </w:r>
      <w:bookmarkEnd w:id="2"/>
    </w:p>
    <w:p w14:paraId="308C726F" w14:textId="31A66AAC" w:rsidR="00B6571E" w:rsidRPr="00706E78" w:rsidRDefault="00BB4B89" w:rsidP="00D16B40">
      <w:pPr>
        <w:spacing w:line="240" w:lineRule="auto"/>
        <w:jc w:val="both"/>
        <w:rPr>
          <w:b/>
          <w:i/>
        </w:rPr>
      </w:pPr>
      <w:r w:rsidRPr="00706E78">
        <w:rPr>
          <w:b/>
          <w:i/>
        </w:rPr>
        <w:t>i. přijmout opatření, která by zajišťovala, že i dary od členů dané politické strany se přiměřeně o</w:t>
      </w:r>
      <w:r w:rsidRPr="00706E78">
        <w:rPr>
          <w:b/>
          <w:i/>
        </w:rPr>
        <w:t>d</w:t>
      </w:r>
      <w:r w:rsidRPr="00706E78">
        <w:rPr>
          <w:b/>
          <w:i/>
        </w:rPr>
        <w:t>razí ve finančních zprávách politických stran a hnutí (odst. 58);</w:t>
      </w:r>
    </w:p>
    <w:p w14:paraId="53B64152" w14:textId="2496472A" w:rsidR="00BB4B89" w:rsidRDefault="00B6571E" w:rsidP="00D16B40">
      <w:pPr>
        <w:spacing w:line="240" w:lineRule="auto"/>
        <w:jc w:val="both"/>
        <w:rPr>
          <w:spacing w:val="-4"/>
          <w:szCs w:val="28"/>
        </w:rPr>
      </w:pPr>
      <w:r>
        <w:rPr>
          <w:b/>
          <w:spacing w:val="-4"/>
          <w:szCs w:val="28"/>
        </w:rPr>
        <w:t>Nerealizováno</w:t>
      </w:r>
      <w:r w:rsidR="00BB4B89">
        <w:rPr>
          <w:b/>
          <w:spacing w:val="-4"/>
          <w:szCs w:val="28"/>
        </w:rPr>
        <w:t>.</w:t>
      </w:r>
      <w:r w:rsidR="00BB4B89">
        <w:rPr>
          <w:spacing w:val="-4"/>
          <w:szCs w:val="28"/>
        </w:rPr>
        <w:t xml:space="preserve"> Vládní návrh zavádí transparentní účetnictví pro všechny výdaje politických stran a hnutí s výjimkou každodenních provozních výdajů a členských příspěvků. Členské příspěvky tak budou nadále mimo veřejnou kontrolu.</w:t>
      </w:r>
    </w:p>
    <w:p w14:paraId="53326C2F" w14:textId="77777777" w:rsidR="00BB4B89" w:rsidRPr="00BB4B89" w:rsidRDefault="00BB4B89" w:rsidP="00D16B40">
      <w:pPr>
        <w:spacing w:line="240" w:lineRule="auto"/>
        <w:jc w:val="both"/>
        <w:rPr>
          <w:spacing w:val="-4"/>
          <w:szCs w:val="28"/>
        </w:rPr>
      </w:pPr>
      <w:r>
        <w:rPr>
          <w:b/>
          <w:spacing w:val="-4"/>
          <w:szCs w:val="28"/>
        </w:rPr>
        <w:t xml:space="preserve">Rekonstrukce státu doporučuje </w:t>
      </w:r>
      <w:r w:rsidRPr="00BB4B89">
        <w:rPr>
          <w:spacing w:val="-4"/>
          <w:szCs w:val="28"/>
        </w:rPr>
        <w:t>zavedení transparentních účtů pro maximální možné spektrum finan</w:t>
      </w:r>
      <w:r w:rsidRPr="00BB4B89">
        <w:rPr>
          <w:spacing w:val="-4"/>
          <w:szCs w:val="28"/>
        </w:rPr>
        <w:t>č</w:t>
      </w:r>
      <w:r w:rsidRPr="00BB4B89">
        <w:rPr>
          <w:spacing w:val="-4"/>
          <w:szCs w:val="28"/>
        </w:rPr>
        <w:t xml:space="preserve">ních operací, včetně </w:t>
      </w:r>
    </w:p>
    <w:p w14:paraId="506D1AC5" w14:textId="77777777" w:rsidR="00BB4B89" w:rsidRPr="00BB4B89" w:rsidRDefault="00BB4B89" w:rsidP="00D16B40">
      <w:pPr>
        <w:spacing w:after="0" w:line="240" w:lineRule="auto"/>
        <w:jc w:val="both"/>
        <w:rPr>
          <w:spacing w:val="-4"/>
          <w:szCs w:val="28"/>
        </w:rPr>
      </w:pPr>
      <w:r w:rsidRPr="00BB4B89">
        <w:rPr>
          <w:spacing w:val="-4"/>
          <w:szCs w:val="28"/>
        </w:rPr>
        <w:t xml:space="preserve">a) operací týkajících se provozní činností strany a hnutí, a ideálně také </w:t>
      </w:r>
    </w:p>
    <w:p w14:paraId="04A8CD4A" w14:textId="77777777" w:rsidR="00BB4B89" w:rsidRPr="00BB4B89" w:rsidRDefault="00BB4B89" w:rsidP="00D16B40">
      <w:pPr>
        <w:spacing w:line="240" w:lineRule="auto"/>
        <w:jc w:val="both"/>
        <w:rPr>
          <w:spacing w:val="-4"/>
          <w:szCs w:val="28"/>
        </w:rPr>
      </w:pPr>
      <w:r w:rsidRPr="00BB4B89">
        <w:rPr>
          <w:spacing w:val="-4"/>
          <w:szCs w:val="28"/>
        </w:rPr>
        <w:t xml:space="preserve">b) plnění vyplývajícího z pracovněprávního vztahu ke straně nebo hnutí a obdobně navrhujeme řešit i zasílání členských příspěvků (z důvodu ochrany osobních údajů). </w:t>
      </w:r>
    </w:p>
    <w:p w14:paraId="5AD83B91" w14:textId="62F4A14F" w:rsidR="00BB4B89" w:rsidRPr="00BB4B89" w:rsidRDefault="00BB4B89" w:rsidP="00D16B40">
      <w:pPr>
        <w:spacing w:line="240" w:lineRule="auto"/>
        <w:jc w:val="both"/>
        <w:rPr>
          <w:spacing w:val="-4"/>
          <w:szCs w:val="28"/>
        </w:rPr>
      </w:pPr>
      <w:r w:rsidRPr="00BB4B89">
        <w:rPr>
          <w:spacing w:val="-4"/>
          <w:szCs w:val="28"/>
        </w:rPr>
        <w:t>Ochranu osobních údajů zaměstnanců strany lze zajistit díky využití systému identifikačních čísel pro ka</w:t>
      </w:r>
      <w:r w:rsidRPr="00BB4B89">
        <w:rPr>
          <w:spacing w:val="-4"/>
          <w:szCs w:val="28"/>
        </w:rPr>
        <w:t>ž</w:t>
      </w:r>
      <w:r w:rsidRPr="00BB4B89">
        <w:rPr>
          <w:spacing w:val="-4"/>
          <w:szCs w:val="28"/>
        </w:rPr>
        <w:t xml:space="preserve">dého zaměstnance, jejichž seznam by byl přístupný pouze zaměstnancům </w:t>
      </w:r>
      <w:r w:rsidR="00432B74">
        <w:rPr>
          <w:spacing w:val="-4"/>
          <w:szCs w:val="28"/>
        </w:rPr>
        <w:t>dohledového</w:t>
      </w:r>
      <w:r w:rsidRPr="00BB4B89">
        <w:rPr>
          <w:spacing w:val="-4"/>
          <w:szCs w:val="28"/>
        </w:rPr>
        <w:t xml:space="preserve"> Úřadu. Tím by zároveň i poklesl počet povinně zřizovaných účtů strany.</w:t>
      </w:r>
    </w:p>
    <w:p w14:paraId="0406B2E9" w14:textId="561816B5" w:rsidR="00BB4B89" w:rsidRDefault="00BB4B89" w:rsidP="00D16B40">
      <w:pPr>
        <w:spacing w:line="240" w:lineRule="auto"/>
        <w:jc w:val="both"/>
        <w:rPr>
          <w:spacing w:val="-4"/>
          <w:szCs w:val="28"/>
        </w:rPr>
      </w:pPr>
      <w:r w:rsidRPr="00BB4B89">
        <w:rPr>
          <w:spacing w:val="-4"/>
          <w:szCs w:val="28"/>
        </w:rPr>
        <w:t>Délku období zobrazovaní dat na transparentních účtech doporučujeme prodloužit minimálně na 3 roky, aby tak byla v souladu s délkou odpovědnosti za správní delikty.</w:t>
      </w:r>
    </w:p>
    <w:p w14:paraId="100A4C2B" w14:textId="77777777" w:rsidR="00BB4B89" w:rsidRPr="00706E78" w:rsidRDefault="00BB4B89" w:rsidP="00D16B40">
      <w:pPr>
        <w:spacing w:line="240" w:lineRule="auto"/>
        <w:jc w:val="both"/>
        <w:rPr>
          <w:b/>
          <w:i/>
        </w:rPr>
      </w:pPr>
      <w:r w:rsidRPr="00706E78">
        <w:rPr>
          <w:b/>
          <w:i/>
        </w:rPr>
        <w:t>ii. zavést přesná pravidla pro ocenění a vykazování nepeněžitých darů, včetně úvěrů (a to kdykoliv se jejich podmínky odlišují od podmínek obvyklých na trhu či jsou zrušeny) a dalšího zboží a služeb (jiných než práce dobrovolníků, kteří nejsou profesionály v daném oboru) poskytnutých za cenu nižší, než je cena obvyklá na trhu (odst. 59);</w:t>
      </w:r>
    </w:p>
    <w:p w14:paraId="0043B822" w14:textId="00F300A1" w:rsidR="00B6571E" w:rsidRDefault="00B6571E" w:rsidP="00D16B40">
      <w:pPr>
        <w:spacing w:line="240" w:lineRule="auto"/>
        <w:jc w:val="both"/>
        <w:rPr>
          <w:spacing w:val="-4"/>
          <w:szCs w:val="28"/>
        </w:rPr>
      </w:pPr>
      <w:r>
        <w:rPr>
          <w:b/>
          <w:spacing w:val="-4"/>
          <w:szCs w:val="28"/>
        </w:rPr>
        <w:t>Realizováno.</w:t>
      </w:r>
    </w:p>
    <w:p w14:paraId="1313334F" w14:textId="77777777" w:rsidR="00B6571E" w:rsidRPr="00706E78" w:rsidRDefault="00B6571E" w:rsidP="00D16B40">
      <w:pPr>
        <w:spacing w:line="240" w:lineRule="auto"/>
        <w:jc w:val="both"/>
        <w:rPr>
          <w:b/>
          <w:i/>
        </w:rPr>
      </w:pPr>
      <w:r w:rsidRPr="00706E78">
        <w:rPr>
          <w:b/>
          <w:i/>
        </w:rPr>
        <w:t>iii. hledat způsoby, jako konsolidovat účetní knihy a účty politických stran a hnutí tak, aby zahrn</w:t>
      </w:r>
      <w:r w:rsidRPr="00706E78">
        <w:rPr>
          <w:b/>
          <w:i/>
        </w:rPr>
        <w:t>o</w:t>
      </w:r>
      <w:r w:rsidRPr="00706E78">
        <w:rPr>
          <w:b/>
          <w:i/>
        </w:rPr>
        <w:t>valy účty subjektů, které přímo či nepřímo souvisejí s danou politickou stranou nebo hnutím nebo jsou stranou či hnutím nějakým způsobem kontrolovány (odst. 60);</w:t>
      </w:r>
    </w:p>
    <w:p w14:paraId="39B19530" w14:textId="340B616C" w:rsidR="00B6571E" w:rsidRDefault="00B6571E" w:rsidP="00D16B40">
      <w:pPr>
        <w:spacing w:line="240" w:lineRule="auto"/>
        <w:jc w:val="both"/>
        <w:rPr>
          <w:spacing w:val="-4"/>
          <w:szCs w:val="28"/>
        </w:rPr>
      </w:pPr>
      <w:r>
        <w:rPr>
          <w:b/>
          <w:spacing w:val="-4"/>
          <w:szCs w:val="28"/>
        </w:rPr>
        <w:t>Částečně realizováno.</w:t>
      </w:r>
      <w:r>
        <w:rPr>
          <w:spacing w:val="-4"/>
          <w:szCs w:val="28"/>
        </w:rPr>
        <w:t xml:space="preserve"> Vládní návrh nově zavádí povinnost politických stran a hnutí přiložit k výročním finančním zprávám také seznam obchodních společností a družstev, v nichž mají podíl nebo jejichž jsou členy, a celkový roční příjem získaný z těchto společností a družstev. Obchodní společnosti a družstva jsou ovšem nadále vyňata ze systému transparentního financování, z </w:t>
      </w:r>
      <w:r w:rsidR="00432B74">
        <w:rPr>
          <w:spacing w:val="-4"/>
          <w:szCs w:val="28"/>
        </w:rPr>
        <w:t>kontroly</w:t>
      </w:r>
      <w:r>
        <w:rPr>
          <w:spacing w:val="-4"/>
          <w:szCs w:val="28"/>
        </w:rPr>
        <w:t xml:space="preserve"> </w:t>
      </w:r>
      <w:r w:rsidR="00432B74">
        <w:rPr>
          <w:spacing w:val="-4"/>
          <w:szCs w:val="28"/>
        </w:rPr>
        <w:t>Úřadem</w:t>
      </w:r>
      <w:r>
        <w:rPr>
          <w:spacing w:val="-4"/>
          <w:szCs w:val="28"/>
        </w:rPr>
        <w:t xml:space="preserve"> pro dohled nad </w:t>
      </w:r>
      <w:r w:rsidR="00432B74">
        <w:rPr>
          <w:spacing w:val="-4"/>
          <w:szCs w:val="28"/>
        </w:rPr>
        <w:t>hosp</w:t>
      </w:r>
      <w:r w:rsidR="00432B74">
        <w:rPr>
          <w:spacing w:val="-4"/>
          <w:szCs w:val="28"/>
        </w:rPr>
        <w:t>o</w:t>
      </w:r>
      <w:r w:rsidR="00432B74">
        <w:rPr>
          <w:spacing w:val="-4"/>
          <w:szCs w:val="28"/>
        </w:rPr>
        <w:t>dařením stran</w:t>
      </w:r>
      <w:r>
        <w:rPr>
          <w:spacing w:val="-4"/>
          <w:szCs w:val="28"/>
        </w:rPr>
        <w:t xml:space="preserve"> a netýkají se jich pravidla o povolených respektive zakázaných typech dárců pro politické strany a hnutí. </w:t>
      </w:r>
    </w:p>
    <w:p w14:paraId="6255588C" w14:textId="2F05E4E4" w:rsidR="00B6571E" w:rsidRPr="00B6571E" w:rsidRDefault="00B6571E" w:rsidP="00D16B40">
      <w:pPr>
        <w:spacing w:line="240" w:lineRule="auto"/>
        <w:jc w:val="both"/>
        <w:rPr>
          <w:spacing w:val="-4"/>
          <w:szCs w:val="28"/>
        </w:rPr>
      </w:pPr>
      <w:r>
        <w:rPr>
          <w:spacing w:val="-4"/>
          <w:szCs w:val="28"/>
        </w:rPr>
        <w:t xml:space="preserve">Aby byla plně realizováno doporučení GRECO, </w:t>
      </w:r>
      <w:r w:rsidRPr="00B6571E">
        <w:rPr>
          <w:b/>
          <w:spacing w:val="-4"/>
          <w:szCs w:val="28"/>
        </w:rPr>
        <w:t>Rekonstrukce státu navrhuje</w:t>
      </w:r>
      <w:r>
        <w:rPr>
          <w:spacing w:val="-4"/>
          <w:szCs w:val="28"/>
        </w:rPr>
        <w:t>, aby h</w:t>
      </w:r>
      <w:r w:rsidRPr="00B6571E">
        <w:rPr>
          <w:spacing w:val="-4"/>
          <w:szCs w:val="28"/>
        </w:rPr>
        <w:t xml:space="preserve">ospodaření obchodní společnosti vlastněné pol. stranou </w:t>
      </w:r>
      <w:r>
        <w:rPr>
          <w:spacing w:val="-4"/>
          <w:szCs w:val="28"/>
        </w:rPr>
        <w:t>podléhalo</w:t>
      </w:r>
      <w:r w:rsidRPr="00B6571E">
        <w:rPr>
          <w:spacing w:val="-4"/>
          <w:szCs w:val="28"/>
        </w:rPr>
        <w:t xml:space="preserve"> obdobným pravidlům kontroly jako financování samotné strany, včetně </w:t>
      </w:r>
    </w:p>
    <w:p w14:paraId="7F32DCBB" w14:textId="77777777" w:rsidR="00B6571E" w:rsidRPr="00B6571E" w:rsidRDefault="00B6571E" w:rsidP="00D16B40">
      <w:pPr>
        <w:spacing w:after="0" w:line="240" w:lineRule="auto"/>
        <w:jc w:val="both"/>
        <w:rPr>
          <w:spacing w:val="-4"/>
          <w:szCs w:val="28"/>
        </w:rPr>
      </w:pPr>
      <w:r w:rsidRPr="00B6571E">
        <w:rPr>
          <w:spacing w:val="-4"/>
          <w:szCs w:val="28"/>
        </w:rPr>
        <w:t>a)</w:t>
      </w:r>
      <w:r w:rsidRPr="00B6571E">
        <w:rPr>
          <w:spacing w:val="-4"/>
          <w:szCs w:val="28"/>
        </w:rPr>
        <w:tab/>
        <w:t xml:space="preserve">možnosti kontroly ze strany Úřadu a </w:t>
      </w:r>
    </w:p>
    <w:p w14:paraId="6E353DD3" w14:textId="77777777" w:rsidR="00B6571E" w:rsidRDefault="00B6571E" w:rsidP="00D16B40">
      <w:pPr>
        <w:spacing w:line="240" w:lineRule="auto"/>
        <w:jc w:val="both"/>
        <w:rPr>
          <w:spacing w:val="-4"/>
          <w:szCs w:val="28"/>
        </w:rPr>
      </w:pPr>
      <w:r w:rsidRPr="00B6571E">
        <w:rPr>
          <w:spacing w:val="-4"/>
          <w:szCs w:val="28"/>
        </w:rPr>
        <w:t>b)</w:t>
      </w:r>
      <w:r w:rsidRPr="00B6571E">
        <w:rPr>
          <w:spacing w:val="-4"/>
          <w:szCs w:val="28"/>
        </w:rPr>
        <w:tab/>
        <w:t>povinnosti přikládat účetní závěrku obchodní společnosti k výroční finanční zprávě strany (podle slovenského vzoru, vizte 85/2005 Z.z., zakon o politických stranách a politických hnutiach, § 30, odst 2, písmeno l).</w:t>
      </w:r>
    </w:p>
    <w:p w14:paraId="6DD3262C" w14:textId="77777777" w:rsidR="00B6571E" w:rsidRPr="00706E78" w:rsidRDefault="00B6571E" w:rsidP="00D16B40">
      <w:pPr>
        <w:spacing w:line="240" w:lineRule="auto"/>
        <w:jc w:val="both"/>
        <w:rPr>
          <w:b/>
          <w:i/>
        </w:rPr>
      </w:pPr>
      <w:r w:rsidRPr="00706E78">
        <w:rPr>
          <w:b/>
          <w:i/>
        </w:rPr>
        <w:lastRenderedPageBreak/>
        <w:t>iv. zajistit, aby se finanční zprávy politických stran a hnutí zveřejňovaly způsobem, který usnadní veřejnosti získat přistup k těmto zprávám (odst. 61);</w:t>
      </w:r>
    </w:p>
    <w:p w14:paraId="4A8D9251" w14:textId="77777777" w:rsidR="00B6571E" w:rsidRDefault="00B6571E" w:rsidP="00D16B40">
      <w:pPr>
        <w:spacing w:line="240" w:lineRule="auto"/>
        <w:jc w:val="both"/>
        <w:rPr>
          <w:b/>
          <w:spacing w:val="-4"/>
          <w:szCs w:val="28"/>
        </w:rPr>
      </w:pPr>
      <w:r>
        <w:rPr>
          <w:b/>
          <w:spacing w:val="-4"/>
          <w:szCs w:val="28"/>
        </w:rPr>
        <w:t>Realizováno.</w:t>
      </w:r>
    </w:p>
    <w:p w14:paraId="62DC111E" w14:textId="77777777" w:rsidR="00B6571E" w:rsidRPr="00706E78" w:rsidRDefault="00B6571E" w:rsidP="00D16B40">
      <w:pPr>
        <w:spacing w:line="240" w:lineRule="auto"/>
        <w:jc w:val="both"/>
        <w:rPr>
          <w:b/>
          <w:i/>
        </w:rPr>
      </w:pPr>
      <w:r w:rsidRPr="00706E78">
        <w:rPr>
          <w:b/>
          <w:i/>
        </w:rPr>
        <w:t>v. vyžadovat (i) mnohem detailnější zveřejňování výdajů na kampaň ve výročních finančních zpr</w:t>
      </w:r>
      <w:r w:rsidRPr="00706E78">
        <w:rPr>
          <w:b/>
          <w:i/>
        </w:rPr>
        <w:t>á</w:t>
      </w:r>
      <w:r w:rsidRPr="00706E78">
        <w:rPr>
          <w:b/>
          <w:i/>
        </w:rPr>
        <w:t>vách a (ii) mnohem častější podávání zpráv/výkazů a zveřejňování darů nad určitou hodnotu, které politické strany a hnutí obdržely v souvislosti s volebními kampaněmi (odst. 62);</w:t>
      </w:r>
    </w:p>
    <w:p w14:paraId="4D20EFB3" w14:textId="77777777" w:rsidR="00B6571E" w:rsidRDefault="00B6571E" w:rsidP="00D16B40">
      <w:pPr>
        <w:spacing w:line="240" w:lineRule="auto"/>
        <w:jc w:val="both"/>
        <w:rPr>
          <w:b/>
          <w:spacing w:val="-4"/>
          <w:szCs w:val="28"/>
        </w:rPr>
      </w:pPr>
      <w:r>
        <w:rPr>
          <w:b/>
          <w:spacing w:val="-4"/>
          <w:szCs w:val="28"/>
        </w:rPr>
        <w:t>Realizováno.</w:t>
      </w:r>
    </w:p>
    <w:p w14:paraId="0ADEAB4D" w14:textId="77777777" w:rsidR="00B6571E" w:rsidRPr="00706E78" w:rsidRDefault="00B6571E" w:rsidP="00D16B40">
      <w:pPr>
        <w:spacing w:line="240" w:lineRule="auto"/>
        <w:jc w:val="both"/>
        <w:rPr>
          <w:b/>
          <w:i/>
        </w:rPr>
      </w:pPr>
      <w:r w:rsidRPr="00706E78">
        <w:rPr>
          <w:b/>
          <w:i/>
        </w:rPr>
        <w:t>vi. zajistit, aby kandidáti vedoucí vlastní volební kampaň, nezávislou na kampani politické str</w:t>
      </w:r>
      <w:r w:rsidRPr="00706E78">
        <w:rPr>
          <w:b/>
          <w:i/>
        </w:rPr>
        <w:t>a</w:t>
      </w:r>
      <w:r w:rsidRPr="00706E78">
        <w:rPr>
          <w:b/>
          <w:i/>
        </w:rPr>
        <w:t>ně/hnutí, podléhali, a to do nejvyšší možné míry, normám, jež jsou srovnatelné s těmi, které platí pro politické strany/hnutí (odst. 63);</w:t>
      </w:r>
    </w:p>
    <w:p w14:paraId="0D979EC1" w14:textId="77777777" w:rsidR="00B6571E" w:rsidRDefault="00B6571E" w:rsidP="00D16B40">
      <w:pPr>
        <w:spacing w:line="240" w:lineRule="auto"/>
        <w:jc w:val="both"/>
        <w:rPr>
          <w:b/>
          <w:spacing w:val="-4"/>
          <w:szCs w:val="28"/>
        </w:rPr>
      </w:pPr>
      <w:r>
        <w:rPr>
          <w:b/>
          <w:spacing w:val="-4"/>
          <w:szCs w:val="28"/>
        </w:rPr>
        <w:t>Realizováno.</w:t>
      </w:r>
    </w:p>
    <w:p w14:paraId="26CF0989" w14:textId="77777777" w:rsidR="00B6571E" w:rsidRPr="00706E78" w:rsidRDefault="00B6571E" w:rsidP="00D16B40">
      <w:pPr>
        <w:spacing w:line="240" w:lineRule="auto"/>
        <w:jc w:val="both"/>
        <w:rPr>
          <w:b/>
          <w:i/>
        </w:rPr>
      </w:pPr>
      <w:r w:rsidRPr="00706E78">
        <w:rPr>
          <w:b/>
          <w:i/>
        </w:rPr>
        <w:t>vii. zavést další opatření k posílení nezávislosti auditorů, kteří mají ověřovat a potvrzovat účty pol</w:t>
      </w:r>
      <w:r w:rsidRPr="00706E78">
        <w:rPr>
          <w:b/>
          <w:i/>
        </w:rPr>
        <w:t>i</w:t>
      </w:r>
      <w:r w:rsidRPr="00706E78">
        <w:rPr>
          <w:b/>
          <w:i/>
        </w:rPr>
        <w:t>tických stran a hnutí (odst. 64);</w:t>
      </w:r>
    </w:p>
    <w:p w14:paraId="632564BA" w14:textId="469505AC" w:rsidR="00EB0095" w:rsidRDefault="004F5D0C" w:rsidP="00D16B40">
      <w:pPr>
        <w:spacing w:line="240" w:lineRule="auto"/>
        <w:jc w:val="both"/>
        <w:rPr>
          <w:spacing w:val="-4"/>
          <w:szCs w:val="28"/>
        </w:rPr>
      </w:pPr>
      <w:r>
        <w:rPr>
          <w:b/>
          <w:spacing w:val="-4"/>
          <w:szCs w:val="28"/>
        </w:rPr>
        <w:t xml:space="preserve">Částečně realizováno. </w:t>
      </w:r>
      <w:r w:rsidR="00EB0095">
        <w:rPr>
          <w:spacing w:val="-4"/>
          <w:szCs w:val="28"/>
        </w:rPr>
        <w:t>Vádní návrh stanoví, že politická strana nebo hnutí nesmí být auditováno jednou firmou po dobu delší než 5 let. Volba auditorů je ale stále na stranách a hnutí a není limitována žádnými kvalifikačními požadavky ohledně potřebného rozpočtu, materiálního zabezpečení, personálního prop</w:t>
      </w:r>
      <w:r w:rsidR="00EB0095">
        <w:rPr>
          <w:spacing w:val="-4"/>
          <w:szCs w:val="28"/>
        </w:rPr>
        <w:t>o</w:t>
      </w:r>
      <w:r w:rsidR="00EB0095">
        <w:rPr>
          <w:spacing w:val="-4"/>
          <w:szCs w:val="28"/>
        </w:rPr>
        <w:t xml:space="preserve">jení či profesionální historie firmy. </w:t>
      </w:r>
      <w:r w:rsidR="00706E78">
        <w:rPr>
          <w:spacing w:val="-4"/>
          <w:szCs w:val="28"/>
        </w:rPr>
        <w:t xml:space="preserve"> </w:t>
      </w:r>
      <w:r w:rsidR="00706E78" w:rsidRPr="00706E78">
        <w:rPr>
          <w:b/>
          <w:spacing w:val="-4"/>
          <w:szCs w:val="28"/>
        </w:rPr>
        <w:t>Rekonstrukce státu proto doporučuje</w:t>
      </w:r>
      <w:r w:rsidR="00706E78">
        <w:rPr>
          <w:spacing w:val="-4"/>
          <w:szCs w:val="28"/>
        </w:rPr>
        <w:t>, aby se maximální doba, po kterou jedna firma smí auditovat jednu stranu zkrátila na 3 roky a aby se zvážily další kvalifikační podmí</w:t>
      </w:r>
      <w:r w:rsidR="00706E78">
        <w:rPr>
          <w:spacing w:val="-4"/>
          <w:szCs w:val="28"/>
        </w:rPr>
        <w:t>n</w:t>
      </w:r>
      <w:r w:rsidR="00706E78">
        <w:rPr>
          <w:spacing w:val="-4"/>
          <w:szCs w:val="28"/>
        </w:rPr>
        <w:t>ky pro firmy auditující účetnictví politických stran.</w:t>
      </w:r>
    </w:p>
    <w:p w14:paraId="18728E6F" w14:textId="77777777" w:rsidR="00EB0095" w:rsidRPr="00706E78" w:rsidRDefault="00EB0095" w:rsidP="00D16B40">
      <w:pPr>
        <w:spacing w:line="240" w:lineRule="auto"/>
        <w:jc w:val="both"/>
        <w:rPr>
          <w:b/>
          <w:i/>
        </w:rPr>
      </w:pPr>
      <w:r w:rsidRPr="00706E78">
        <w:rPr>
          <w:b/>
          <w:i/>
        </w:rPr>
        <w:t>viii. (i) v souladu s článkem 14 doporučení Rec(2003)4 o obecných pravidlech proti korupci při fina</w:t>
      </w:r>
      <w:r w:rsidRPr="00706E78">
        <w:rPr>
          <w:b/>
          <w:i/>
        </w:rPr>
        <w:t>n</w:t>
      </w:r>
      <w:r w:rsidRPr="00706E78">
        <w:rPr>
          <w:b/>
          <w:i/>
        </w:rPr>
        <w:t>cování politických stran a volebních kampaní zajistit zavedení nezávislého mechanismu pro monit</w:t>
      </w:r>
      <w:r w:rsidRPr="00706E78">
        <w:rPr>
          <w:b/>
          <w:i/>
        </w:rPr>
        <w:t>o</w:t>
      </w:r>
      <w:r w:rsidRPr="00706E78">
        <w:rPr>
          <w:b/>
          <w:i/>
        </w:rPr>
        <w:t>rování financování politických stran/hnutí a volebních kampaní (včetně kampaní vedených přímo kandidáty); (ii) zajistit, aby měl tento mechanismus mandát, pravomoc, ale i přiměřené zdroje pro účinnou a proaktivní kontrolu financování politických stran/hnutí a volebních kampaní, vyšetřování údajných porušení pravidel o financování politických stran/hnutí a, je-li to vhodné, i pro ukládání sankcí a (iii) zavést jasný postup pro předkládání (a následné) prověřovaní stížností podaných o</w:t>
      </w:r>
      <w:r w:rsidRPr="00706E78">
        <w:rPr>
          <w:b/>
          <w:i/>
        </w:rPr>
        <w:t>b</w:t>
      </w:r>
      <w:r w:rsidRPr="00706E78">
        <w:rPr>
          <w:b/>
          <w:i/>
        </w:rPr>
        <w:t>čany a médii s ohledem na financování politických stran/hnutí a volebních kampaní (odst. 67);</w:t>
      </w:r>
    </w:p>
    <w:p w14:paraId="0736F904" w14:textId="77777777" w:rsidR="00EB0095" w:rsidRDefault="00EB0095" w:rsidP="00D16B40">
      <w:pPr>
        <w:spacing w:line="240" w:lineRule="auto"/>
        <w:jc w:val="both"/>
        <w:rPr>
          <w:spacing w:val="-4"/>
          <w:szCs w:val="28"/>
        </w:rPr>
      </w:pPr>
      <w:r>
        <w:rPr>
          <w:b/>
          <w:spacing w:val="-4"/>
          <w:szCs w:val="28"/>
        </w:rPr>
        <w:t xml:space="preserve">Částečně realizováno. </w:t>
      </w:r>
      <w:r>
        <w:rPr>
          <w:spacing w:val="-4"/>
          <w:szCs w:val="28"/>
        </w:rPr>
        <w:t xml:space="preserve">Aby došlo k naplnění požadavku nezávislosti dohledového orgánu, </w:t>
      </w:r>
      <w:r w:rsidRPr="00706E78">
        <w:rPr>
          <w:b/>
          <w:spacing w:val="-4"/>
          <w:szCs w:val="28"/>
        </w:rPr>
        <w:t>Rekonstrukce státu navrhuje</w:t>
      </w:r>
      <w:r>
        <w:rPr>
          <w:spacing w:val="-4"/>
          <w:szCs w:val="28"/>
        </w:rPr>
        <w:t xml:space="preserve"> aby </w:t>
      </w:r>
    </w:p>
    <w:p w14:paraId="558273DD" w14:textId="4B1BA080" w:rsidR="00EB0095" w:rsidRPr="00EB0095" w:rsidRDefault="00EB0095" w:rsidP="00D16B40">
      <w:pPr>
        <w:spacing w:line="240" w:lineRule="auto"/>
        <w:jc w:val="both"/>
        <w:rPr>
          <w:spacing w:val="-4"/>
          <w:szCs w:val="28"/>
        </w:rPr>
      </w:pPr>
      <w:r>
        <w:rPr>
          <w:spacing w:val="-4"/>
          <w:szCs w:val="28"/>
        </w:rPr>
        <w:t>a) doba</w:t>
      </w:r>
      <w:r w:rsidRPr="00EB0095">
        <w:rPr>
          <w:spacing w:val="-4"/>
          <w:szCs w:val="28"/>
        </w:rPr>
        <w:t xml:space="preserve">, po kterou by designovaný předseda nebo člen Úřadu před svým nástupem do funkce nesměl být členem politické strany či vykonávat činnost v politické straně nebo zastupitelských orgánech, </w:t>
      </w:r>
      <w:r>
        <w:rPr>
          <w:spacing w:val="-4"/>
          <w:szCs w:val="28"/>
        </w:rPr>
        <w:t>byla pr</w:t>
      </w:r>
      <w:r>
        <w:rPr>
          <w:spacing w:val="-4"/>
          <w:szCs w:val="28"/>
        </w:rPr>
        <w:t>o</w:t>
      </w:r>
      <w:r>
        <w:rPr>
          <w:spacing w:val="-4"/>
          <w:szCs w:val="28"/>
        </w:rPr>
        <w:t>dloužena</w:t>
      </w:r>
      <w:r w:rsidRPr="00EB0095">
        <w:rPr>
          <w:spacing w:val="-4"/>
          <w:szCs w:val="28"/>
        </w:rPr>
        <w:t xml:space="preserve"> na </w:t>
      </w:r>
      <w:r>
        <w:rPr>
          <w:spacing w:val="-4"/>
          <w:szCs w:val="28"/>
        </w:rPr>
        <w:t>5 let (příp. i více);</w:t>
      </w:r>
    </w:p>
    <w:p w14:paraId="4B5D8842" w14:textId="77777777" w:rsidR="00EB0095" w:rsidRDefault="00EB0095" w:rsidP="00D16B40">
      <w:pPr>
        <w:spacing w:line="240" w:lineRule="auto"/>
        <w:jc w:val="both"/>
        <w:rPr>
          <w:spacing w:val="-4"/>
          <w:szCs w:val="28"/>
        </w:rPr>
      </w:pPr>
      <w:r>
        <w:rPr>
          <w:spacing w:val="-4"/>
          <w:szCs w:val="28"/>
        </w:rPr>
        <w:t>b) byl p</w:t>
      </w:r>
      <w:r w:rsidRPr="00EB0095">
        <w:rPr>
          <w:spacing w:val="-4"/>
          <w:szCs w:val="28"/>
        </w:rPr>
        <w:t xml:space="preserve">ro předsedu i členy Úřadu </w:t>
      </w:r>
      <w:r>
        <w:rPr>
          <w:spacing w:val="-4"/>
          <w:szCs w:val="28"/>
        </w:rPr>
        <w:t>zaveden pouze neopakovatelný</w:t>
      </w:r>
      <w:r w:rsidRPr="00EB0095">
        <w:rPr>
          <w:spacing w:val="-4"/>
          <w:szCs w:val="28"/>
        </w:rPr>
        <w:t xml:space="preserve"> mandát na 7 let. Možnost opakování mandátu může založit potenciální ovlivňování rozhodnutí členů Úřadu tak, aby volitelé napříště opět hl</w:t>
      </w:r>
      <w:r w:rsidRPr="00EB0095">
        <w:rPr>
          <w:spacing w:val="-4"/>
          <w:szCs w:val="28"/>
        </w:rPr>
        <w:t>a</w:t>
      </w:r>
      <w:r w:rsidRPr="00EB0095">
        <w:rPr>
          <w:spacing w:val="-4"/>
          <w:szCs w:val="28"/>
        </w:rPr>
        <w:t>sovali pro daného kandidáta na obsazení postu v Úřadu.</w:t>
      </w:r>
    </w:p>
    <w:p w14:paraId="03A81C5C" w14:textId="77777777" w:rsidR="00EB0095" w:rsidRPr="00706E78" w:rsidRDefault="00EB0095" w:rsidP="00D16B40">
      <w:pPr>
        <w:spacing w:line="240" w:lineRule="auto"/>
        <w:jc w:val="both"/>
        <w:rPr>
          <w:b/>
          <w:i/>
        </w:rPr>
      </w:pPr>
      <w:r w:rsidRPr="00706E78">
        <w:rPr>
          <w:b/>
          <w:i/>
        </w:rPr>
        <w:t>ix. (i) zavést vhodné (pružné) sankce za veškerá porušení zákona o politických stranách a hnutích, vedle stávajících sankcí a (ii) zajistit možnost uložit sankce za porušování zákona o politických str</w:t>
      </w:r>
      <w:r w:rsidRPr="00706E78">
        <w:rPr>
          <w:b/>
          <w:i/>
        </w:rPr>
        <w:t>a</w:t>
      </w:r>
      <w:r w:rsidRPr="00706E78">
        <w:rPr>
          <w:b/>
          <w:i/>
        </w:rPr>
        <w:t>nách a hnutích kandidátům uvedeným na kandidátní listině (odst. 68).</w:t>
      </w:r>
    </w:p>
    <w:p w14:paraId="105FA41B" w14:textId="281043AA" w:rsidR="00EB0095" w:rsidRDefault="00EB0095" w:rsidP="00D16B40">
      <w:pPr>
        <w:spacing w:line="240" w:lineRule="auto"/>
        <w:jc w:val="both"/>
        <w:rPr>
          <w:spacing w:val="-4"/>
          <w:szCs w:val="28"/>
        </w:rPr>
      </w:pPr>
      <w:r>
        <w:rPr>
          <w:b/>
          <w:spacing w:val="-4"/>
          <w:szCs w:val="28"/>
        </w:rPr>
        <w:t>Nerealizováno</w:t>
      </w:r>
      <w:r>
        <w:rPr>
          <w:spacing w:val="-4"/>
          <w:szCs w:val="28"/>
        </w:rPr>
        <w:t>. Vládní návrh obsahuje finanční sankce tak nízké, že je třeba pochybovat o jejich možném odrazovacím a donucovacím efektu. Pro srovnání přikládáne tabulku srovnávající pokuty v České republ</w:t>
      </w:r>
      <w:r>
        <w:rPr>
          <w:spacing w:val="-4"/>
          <w:szCs w:val="28"/>
        </w:rPr>
        <w:t>i</w:t>
      </w:r>
      <w:r>
        <w:rPr>
          <w:spacing w:val="-4"/>
          <w:szCs w:val="28"/>
        </w:rPr>
        <w:t>ce (tak, jak jsou navrženy vládou) a na Slovensku:</w:t>
      </w:r>
    </w:p>
    <w:p w14:paraId="4F8A13B4" w14:textId="5E07767E" w:rsidR="00F11042" w:rsidRDefault="00EB0095" w:rsidP="00D16B40">
      <w:pPr>
        <w:spacing w:line="240" w:lineRule="auto"/>
        <w:jc w:val="both"/>
        <w:rPr>
          <w:b/>
          <w:spacing w:val="-4"/>
          <w:szCs w:val="28"/>
        </w:rPr>
      </w:pPr>
      <w:r>
        <w:rPr>
          <w:spacing w:val="-4"/>
          <w:szCs w:val="28"/>
        </w:rPr>
        <w:lastRenderedPageBreak/>
        <w:t xml:space="preserve">  </w:t>
      </w:r>
    </w:p>
    <w:p w14:paraId="07B054C7" w14:textId="6EFFA158" w:rsidR="0094231D" w:rsidRDefault="0094231D" w:rsidP="00D16B40">
      <w:pPr>
        <w:spacing w:line="240" w:lineRule="auto"/>
        <w:jc w:val="both"/>
        <w:rPr>
          <w:b/>
          <w:spacing w:val="-4"/>
          <w:szCs w:val="28"/>
        </w:rPr>
      </w:pPr>
      <w:r w:rsidRPr="001946C4"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5788A1D4" wp14:editId="73E7E53D">
            <wp:simplePos x="0" y="0"/>
            <wp:positionH relativeFrom="margin">
              <wp:align>left</wp:align>
            </wp:positionH>
            <wp:positionV relativeFrom="paragraph">
              <wp:posOffset>-5715</wp:posOffset>
            </wp:positionV>
            <wp:extent cx="5784850" cy="1857375"/>
            <wp:effectExtent l="0" t="0" r="635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3544" cy="1860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B10FFE" w14:textId="77777777" w:rsidR="0094231D" w:rsidRDefault="0094231D" w:rsidP="00D16B40">
      <w:pPr>
        <w:spacing w:line="240" w:lineRule="auto"/>
        <w:jc w:val="both"/>
        <w:rPr>
          <w:b/>
          <w:spacing w:val="-4"/>
          <w:szCs w:val="28"/>
        </w:rPr>
      </w:pPr>
    </w:p>
    <w:p w14:paraId="2DBF4880" w14:textId="77777777" w:rsidR="0094231D" w:rsidRDefault="0094231D" w:rsidP="00D16B40">
      <w:pPr>
        <w:spacing w:line="240" w:lineRule="auto"/>
        <w:jc w:val="both"/>
        <w:rPr>
          <w:b/>
          <w:spacing w:val="-4"/>
          <w:szCs w:val="28"/>
        </w:rPr>
      </w:pPr>
    </w:p>
    <w:p w14:paraId="1E4D1ACD" w14:textId="77777777" w:rsidR="0094231D" w:rsidRDefault="0094231D" w:rsidP="00D16B40">
      <w:pPr>
        <w:spacing w:line="240" w:lineRule="auto"/>
        <w:jc w:val="both"/>
        <w:rPr>
          <w:b/>
          <w:spacing w:val="-4"/>
          <w:szCs w:val="28"/>
        </w:rPr>
      </w:pPr>
    </w:p>
    <w:p w14:paraId="0F09E076" w14:textId="77777777" w:rsidR="0094231D" w:rsidRDefault="0094231D" w:rsidP="00D16B40">
      <w:pPr>
        <w:spacing w:line="240" w:lineRule="auto"/>
        <w:jc w:val="both"/>
        <w:rPr>
          <w:b/>
          <w:spacing w:val="-4"/>
          <w:szCs w:val="28"/>
        </w:rPr>
      </w:pPr>
    </w:p>
    <w:p w14:paraId="08F4D09F" w14:textId="77777777" w:rsidR="0094231D" w:rsidRDefault="0094231D" w:rsidP="00D16B40">
      <w:pPr>
        <w:spacing w:line="240" w:lineRule="auto"/>
        <w:jc w:val="both"/>
        <w:rPr>
          <w:b/>
          <w:spacing w:val="-4"/>
          <w:szCs w:val="28"/>
        </w:rPr>
      </w:pPr>
    </w:p>
    <w:p w14:paraId="32F41301" w14:textId="77777777" w:rsidR="0094231D" w:rsidRDefault="0094231D" w:rsidP="00D16B40">
      <w:pPr>
        <w:spacing w:line="240" w:lineRule="auto"/>
        <w:jc w:val="both"/>
        <w:rPr>
          <w:b/>
          <w:spacing w:val="-4"/>
          <w:szCs w:val="28"/>
        </w:rPr>
      </w:pPr>
    </w:p>
    <w:p w14:paraId="7FAF944D" w14:textId="77777777" w:rsidR="006D29D3" w:rsidRDefault="00EB0095" w:rsidP="00D16B40">
      <w:pPr>
        <w:spacing w:line="240" w:lineRule="auto"/>
        <w:jc w:val="both"/>
        <w:rPr>
          <w:spacing w:val="-4"/>
          <w:szCs w:val="28"/>
        </w:rPr>
      </w:pPr>
      <w:r>
        <w:rPr>
          <w:b/>
          <w:spacing w:val="-4"/>
          <w:szCs w:val="28"/>
        </w:rPr>
        <w:t xml:space="preserve">Rekonstrukce státu proto doporučuje </w:t>
      </w:r>
      <w:r w:rsidRPr="00EB0095">
        <w:rPr>
          <w:spacing w:val="-4"/>
          <w:szCs w:val="28"/>
        </w:rPr>
        <w:t>zvýšit maximální rozsah</w:t>
      </w:r>
      <w:r>
        <w:rPr>
          <w:spacing w:val="-4"/>
          <w:szCs w:val="28"/>
        </w:rPr>
        <w:t xml:space="preserve"> pokut jak v zákoně o sdružování v politických stranách, tak ve volebních zákonech</w:t>
      </w:r>
      <w:r w:rsidR="006D29D3">
        <w:rPr>
          <w:spacing w:val="-4"/>
          <w:szCs w:val="28"/>
        </w:rPr>
        <w:t xml:space="preserve">. </w:t>
      </w:r>
    </w:p>
    <w:p w14:paraId="03955EE4" w14:textId="37441828" w:rsidR="00EB0095" w:rsidRDefault="006D29D3" w:rsidP="00D16B40">
      <w:pPr>
        <w:spacing w:line="240" w:lineRule="auto"/>
        <w:jc w:val="both"/>
        <w:rPr>
          <w:spacing w:val="-4"/>
          <w:szCs w:val="28"/>
        </w:rPr>
      </w:pPr>
      <w:r>
        <w:rPr>
          <w:spacing w:val="-4"/>
          <w:szCs w:val="28"/>
        </w:rPr>
        <w:t>a</w:t>
      </w:r>
      <w:r w:rsidRPr="006D29D3">
        <w:rPr>
          <w:spacing w:val="-4"/>
          <w:szCs w:val="28"/>
        </w:rPr>
        <w:t>)</w:t>
      </w:r>
      <w:r>
        <w:rPr>
          <w:spacing w:val="-4"/>
          <w:szCs w:val="28"/>
        </w:rPr>
        <w:t xml:space="preserve">  </w:t>
      </w:r>
      <w:r w:rsidR="00EB0095" w:rsidRPr="006D29D3">
        <w:rPr>
          <w:spacing w:val="-4"/>
          <w:szCs w:val="28"/>
        </w:rPr>
        <w:t>maximální pokuta 200 000 Kč za nezavedení transparentních účtů, nepředložení výroční finanční zpr</w:t>
      </w:r>
      <w:r w:rsidR="00EB0095" w:rsidRPr="006D29D3">
        <w:rPr>
          <w:spacing w:val="-4"/>
          <w:szCs w:val="28"/>
        </w:rPr>
        <w:t>á</w:t>
      </w:r>
      <w:r w:rsidR="00EB0095" w:rsidRPr="006D29D3">
        <w:rPr>
          <w:spacing w:val="-4"/>
          <w:szCs w:val="28"/>
        </w:rPr>
        <w:t>vy nebo nenavrácení nezákonně přijatého daru představuje pouhé 0,01 % ročního rozpočtu velké parl</w:t>
      </w:r>
      <w:r w:rsidR="00EB0095" w:rsidRPr="006D29D3">
        <w:rPr>
          <w:spacing w:val="-4"/>
          <w:szCs w:val="28"/>
        </w:rPr>
        <w:t>a</w:t>
      </w:r>
      <w:r w:rsidR="00EB0095" w:rsidRPr="006D29D3">
        <w:rPr>
          <w:spacing w:val="-4"/>
          <w:szCs w:val="28"/>
        </w:rPr>
        <w:t>mentní strany. Úřad by měl mít možnost určit výši pokuty např. určitým procentem z celkových příjmů za daný rok, k němuž se vztahuje nepředložená výroční finanční zpráva.</w:t>
      </w:r>
    </w:p>
    <w:p w14:paraId="52ECB5A1" w14:textId="5AF47C08" w:rsidR="00D16B40" w:rsidRDefault="006D29D3" w:rsidP="0094231D">
      <w:pPr>
        <w:spacing w:line="240" w:lineRule="auto"/>
        <w:jc w:val="both"/>
      </w:pPr>
      <w:r>
        <w:t xml:space="preserve">b) maximální pokuta 100 000 Kč za neoznačení inzerce znamená 0,11 </w:t>
      </w:r>
      <w:r w:rsidRPr="000D2CAC">
        <w:t xml:space="preserve">% </w:t>
      </w:r>
      <w:r>
        <w:t>povolené sumy nákladů na volební kampaň do Poslanecké sněmovny. Úřad by měl mít možnost určit výši pokuty např. určitým procentem z celkových nákladů vynaložených na neoznačenou inzerci.</w:t>
      </w:r>
    </w:p>
    <w:p w14:paraId="22E8B923" w14:textId="77777777" w:rsidR="0094231D" w:rsidRDefault="0094231D" w:rsidP="0094231D">
      <w:pPr>
        <w:spacing w:line="240" w:lineRule="auto"/>
        <w:jc w:val="both"/>
      </w:pPr>
    </w:p>
    <w:p w14:paraId="7F239B58" w14:textId="77777777" w:rsidR="0094231D" w:rsidRDefault="0094231D" w:rsidP="00D16B40">
      <w:pPr>
        <w:pStyle w:val="Nadpis3"/>
      </w:pPr>
      <w:bookmarkStart w:id="3" w:name="_Toc439945185"/>
    </w:p>
    <w:p w14:paraId="140B7D9A" w14:textId="77777777" w:rsidR="0094231D" w:rsidRDefault="0094231D" w:rsidP="00D16B40">
      <w:pPr>
        <w:pStyle w:val="Nadpis3"/>
      </w:pPr>
    </w:p>
    <w:p w14:paraId="17DE2F86" w14:textId="77777777" w:rsidR="0094231D" w:rsidRDefault="0094231D" w:rsidP="00D16B40">
      <w:pPr>
        <w:pStyle w:val="Nadpis3"/>
      </w:pPr>
    </w:p>
    <w:p w14:paraId="47FB6CA3" w14:textId="77777777" w:rsidR="0094231D" w:rsidRDefault="0094231D">
      <w:pPr>
        <w:spacing w:after="0" w:line="240" w:lineRule="auto"/>
        <w:rPr>
          <w:rFonts w:eastAsiaTheme="majorEastAsia" w:cstheme="majorBidi"/>
          <w:b/>
          <w:sz w:val="24"/>
          <w:szCs w:val="24"/>
        </w:rPr>
      </w:pPr>
      <w:r>
        <w:br w:type="page"/>
      </w:r>
    </w:p>
    <w:p w14:paraId="0519FE0B" w14:textId="77777777" w:rsidR="007107F3" w:rsidRDefault="007107F3" w:rsidP="00D16B40">
      <w:pPr>
        <w:pStyle w:val="Nadpis3"/>
      </w:pPr>
    </w:p>
    <w:p w14:paraId="03BD6208" w14:textId="22523D03" w:rsidR="003B4A7E" w:rsidRPr="00D16B40" w:rsidRDefault="00D16B40" w:rsidP="00D16B40">
      <w:pPr>
        <w:pStyle w:val="Nadpis3"/>
        <w:rPr>
          <w:spacing w:val="-4"/>
          <w:szCs w:val="28"/>
        </w:rPr>
      </w:pPr>
      <w:r>
        <w:t>Další doporučení Rekonstrukce státu</w:t>
      </w:r>
      <w:bookmarkEnd w:id="3"/>
    </w:p>
    <w:p w14:paraId="5133A6E4" w14:textId="77777777" w:rsidR="007107F3" w:rsidRDefault="007107F3" w:rsidP="003B4A7E">
      <w:pPr>
        <w:spacing w:after="0" w:line="240" w:lineRule="auto"/>
        <w:jc w:val="both"/>
        <w:rPr>
          <w:b/>
          <w:spacing w:val="-4"/>
          <w:szCs w:val="28"/>
        </w:rPr>
      </w:pPr>
    </w:p>
    <w:p w14:paraId="4EFDA48E" w14:textId="537258BB" w:rsidR="006D29D3" w:rsidRDefault="003B4A7E" w:rsidP="003B4A7E">
      <w:pPr>
        <w:spacing w:after="0" w:line="240" w:lineRule="auto"/>
        <w:jc w:val="both"/>
        <w:rPr>
          <w:spacing w:val="-4"/>
          <w:szCs w:val="28"/>
        </w:rPr>
      </w:pPr>
      <w:r w:rsidRPr="003B4A7E">
        <w:rPr>
          <w:b/>
          <w:spacing w:val="-4"/>
          <w:szCs w:val="28"/>
        </w:rPr>
        <w:t>Nad rámec doporučení GRECO předkládá Rekonstrukce státu ještě šest dalších doporučení</w:t>
      </w:r>
      <w:r>
        <w:rPr>
          <w:spacing w:val="-4"/>
          <w:szCs w:val="28"/>
        </w:rPr>
        <w:t>, jejichž r</w:t>
      </w:r>
      <w:r>
        <w:rPr>
          <w:spacing w:val="-4"/>
          <w:szCs w:val="28"/>
        </w:rPr>
        <w:t>e</w:t>
      </w:r>
      <w:r>
        <w:rPr>
          <w:spacing w:val="-4"/>
          <w:szCs w:val="28"/>
        </w:rPr>
        <w:t>flexe v přípravované novelizaci zákona o sdružování v politických stranách a volebních zákonů by zvýšila celkovou kvalitu a účinnost reformy politického financování v České republice. Doporučení se týkají šesti bodů reformy:</w:t>
      </w:r>
    </w:p>
    <w:p w14:paraId="036DCDF9" w14:textId="77777777" w:rsidR="00862EB1" w:rsidRPr="001946C4" w:rsidRDefault="00862EB1" w:rsidP="001946C4">
      <w:pPr>
        <w:spacing w:after="0" w:line="240" w:lineRule="auto"/>
        <w:jc w:val="both"/>
        <w:rPr>
          <w:rFonts w:cs="Arial"/>
          <w:szCs w:val="20"/>
        </w:rPr>
      </w:pPr>
    </w:p>
    <w:p w14:paraId="41A95856" w14:textId="1F010319" w:rsidR="00222307" w:rsidRDefault="00222307" w:rsidP="0010475E">
      <w:pPr>
        <w:pStyle w:val="Odstavecseseznamem"/>
        <w:numPr>
          <w:ilvl w:val="0"/>
          <w:numId w:val="28"/>
        </w:numPr>
        <w:spacing w:after="0" w:line="240" w:lineRule="auto"/>
        <w:ind w:left="284" w:hanging="284"/>
        <w:contextualSpacing w:val="0"/>
        <w:jc w:val="both"/>
        <w:rPr>
          <w:szCs w:val="28"/>
          <w:u w:val="single"/>
        </w:rPr>
      </w:pPr>
      <w:r>
        <w:rPr>
          <w:szCs w:val="28"/>
          <w:u w:val="single"/>
        </w:rPr>
        <w:t>Politické instituty</w:t>
      </w:r>
    </w:p>
    <w:p w14:paraId="7666CCCA" w14:textId="22660691" w:rsidR="00F4036C" w:rsidRPr="00AE4A28" w:rsidRDefault="00862EB1" w:rsidP="00F4036C">
      <w:pPr>
        <w:pStyle w:val="Odstavecseseznamem"/>
        <w:spacing w:line="240" w:lineRule="auto"/>
        <w:ind w:left="284"/>
        <w:jc w:val="both"/>
      </w:pPr>
      <w:r>
        <w:t>Politické instituty</w:t>
      </w:r>
      <w:r w:rsidR="003266DE" w:rsidRPr="002F7C90">
        <w:t xml:space="preserve"> by měly po</w:t>
      </w:r>
      <w:r w:rsidR="003266DE" w:rsidRPr="00FA5F50">
        <w:t>dléhat obdobné kontrole a pravidlům, jako strany a hnutí. Mají-li české politické instituty dosáh</w:t>
      </w:r>
      <w:r w:rsidR="003266DE" w:rsidRPr="000E3675">
        <w:t xml:space="preserve">nout stejného standardu nezávislosti a demokratické legitimity jako německé politické nadace, </w:t>
      </w:r>
      <w:r w:rsidR="005801E6">
        <w:t xml:space="preserve">o které se návrh podle vyjádření předkladatele opírá, </w:t>
      </w:r>
      <w:r w:rsidR="003266DE" w:rsidRPr="000E3675">
        <w:t>doporučujeme:</w:t>
      </w:r>
    </w:p>
    <w:p w14:paraId="593864AF" w14:textId="091C6D23" w:rsidR="00222307" w:rsidRPr="00222307" w:rsidRDefault="003266DE" w:rsidP="0010475E">
      <w:pPr>
        <w:pStyle w:val="Odstavecseseznamem"/>
        <w:numPr>
          <w:ilvl w:val="0"/>
          <w:numId w:val="35"/>
        </w:numPr>
        <w:spacing w:after="0" w:line="240" w:lineRule="auto"/>
        <w:jc w:val="both"/>
        <w:rPr>
          <w:rFonts w:cs="Arial"/>
          <w:szCs w:val="20"/>
        </w:rPr>
      </w:pPr>
      <w:r>
        <w:t xml:space="preserve">Omezit zákonem spektrum možných dárců politického institutu na stejné </w:t>
      </w:r>
      <w:r w:rsidR="00173D4B">
        <w:t>dárce, jaké</w:t>
      </w:r>
      <w:r>
        <w:t xml:space="preserve"> mají p</w:t>
      </w:r>
      <w:r>
        <w:t>o</w:t>
      </w:r>
      <w:r>
        <w:t xml:space="preserve">voleny politické strany. Status veřejné prospěšnosti, jak je v současnosti navržen, </w:t>
      </w:r>
      <w:r w:rsidR="00222307" w:rsidRPr="00222307">
        <w:t xml:space="preserve">nevylučuje </w:t>
      </w:r>
      <w:r w:rsidR="00222307">
        <w:t xml:space="preserve">politickým institutům </w:t>
      </w:r>
      <w:r w:rsidR="00222307" w:rsidRPr="00222307">
        <w:t>získávat příjmy od dárců, kteří nesmí darovat politických stranám a hn</w:t>
      </w:r>
      <w:r w:rsidR="00222307" w:rsidRPr="00222307">
        <w:t>u</w:t>
      </w:r>
      <w:r w:rsidR="00222307" w:rsidRPr="00222307">
        <w:t xml:space="preserve">tím (např. svěřenecké fondy, zahraniční dárci, subjekty s veřejnou účastí).  </w:t>
      </w:r>
      <w:r w:rsidR="00222307">
        <w:t>Je tak možná situ</w:t>
      </w:r>
      <w:r w:rsidR="00222307">
        <w:t>a</w:t>
      </w:r>
      <w:r w:rsidR="00222307">
        <w:t xml:space="preserve">ce, kdy by firma chtěla splatit (či si dopředu zajistit) protislužbu politické straně zasláním daru </w:t>
      </w:r>
      <w:r w:rsidR="00B134F1">
        <w:t xml:space="preserve">pol. </w:t>
      </w:r>
      <w:r w:rsidR="00222307">
        <w:t>institutu</w:t>
      </w:r>
      <w:r w:rsidR="005801E6">
        <w:t>,</w:t>
      </w:r>
      <w:r w:rsidR="00222307">
        <w:t xml:space="preserve"> na</w:t>
      </w:r>
      <w:r w:rsidR="00B134F1">
        <w:t xml:space="preserve"> </w:t>
      </w:r>
      <w:r w:rsidR="00222307">
        <w:t xml:space="preserve">místo </w:t>
      </w:r>
      <w:r w:rsidR="00B134F1">
        <w:t xml:space="preserve">pol. </w:t>
      </w:r>
      <w:r w:rsidR="00222307">
        <w:t xml:space="preserve">straně. </w:t>
      </w:r>
    </w:p>
    <w:p w14:paraId="628A0252" w14:textId="489406C4" w:rsidR="003266DE" w:rsidRPr="00862EB1" w:rsidRDefault="00222307" w:rsidP="0010475E">
      <w:pPr>
        <w:pStyle w:val="Odstavecseseznamem"/>
        <w:numPr>
          <w:ilvl w:val="0"/>
          <w:numId w:val="35"/>
        </w:numPr>
        <w:spacing w:after="0" w:line="240" w:lineRule="auto"/>
        <w:jc w:val="both"/>
        <w:rPr>
          <w:rFonts w:cs="Arial"/>
          <w:szCs w:val="20"/>
        </w:rPr>
      </w:pPr>
      <w:r>
        <w:t xml:space="preserve">Navrhujeme rovněž zákonem zamezit možnému personálnímu propojení </w:t>
      </w:r>
      <w:r w:rsidR="005801E6">
        <w:t xml:space="preserve">v osobách </w:t>
      </w:r>
      <w:r w:rsidR="0068423B">
        <w:t>statutá</w:t>
      </w:r>
      <w:r w:rsidR="0068423B">
        <w:t>r</w:t>
      </w:r>
      <w:r w:rsidR="0068423B">
        <w:t xml:space="preserve">ních </w:t>
      </w:r>
      <w:r>
        <w:t>orgánů politických stran a institutů.</w:t>
      </w:r>
    </w:p>
    <w:p w14:paraId="7235B7EE" w14:textId="1F19C2C1" w:rsidR="0010475E" w:rsidRPr="003B4A7E" w:rsidRDefault="0010475E" w:rsidP="00F4036C">
      <w:pPr>
        <w:spacing w:line="240" w:lineRule="auto"/>
        <w:ind w:left="284"/>
        <w:jc w:val="both"/>
        <w:rPr>
          <w:rFonts w:cs="Arial"/>
          <w:szCs w:val="20"/>
        </w:rPr>
      </w:pPr>
      <w:r>
        <w:t>Podle německého vzoru dále doporučujeme zvážit změnu vázanosti státního příspěvku na činnost politického institutu z osoby poslance na politickou stranu</w:t>
      </w:r>
      <w:r w:rsidR="003B4A7E">
        <w:t>.</w:t>
      </w:r>
    </w:p>
    <w:p w14:paraId="61986961" w14:textId="5D67F83B" w:rsidR="003B4A7E" w:rsidRPr="00385279" w:rsidRDefault="003B4A7E" w:rsidP="003B4A7E">
      <w:pPr>
        <w:pStyle w:val="Odstavecseseznamem"/>
        <w:numPr>
          <w:ilvl w:val="0"/>
          <w:numId w:val="28"/>
        </w:numPr>
        <w:spacing w:after="0" w:line="240" w:lineRule="auto"/>
        <w:ind w:left="284" w:hanging="284"/>
        <w:contextualSpacing w:val="0"/>
        <w:jc w:val="both"/>
        <w:rPr>
          <w:szCs w:val="28"/>
          <w:u w:val="single"/>
        </w:rPr>
      </w:pPr>
      <w:r>
        <w:rPr>
          <w:szCs w:val="28"/>
          <w:u w:val="single"/>
        </w:rPr>
        <w:t>Registrace „třetích osob“ podílejících se na volební kampani podle slovenského vzoru</w:t>
      </w:r>
    </w:p>
    <w:p w14:paraId="5E64011F" w14:textId="10493588" w:rsidR="0010475E" w:rsidRPr="003B4A7E" w:rsidRDefault="003B4A7E" w:rsidP="003B4A7E">
      <w:pPr>
        <w:spacing w:line="240" w:lineRule="auto"/>
        <w:ind w:left="284"/>
        <w:jc w:val="both"/>
      </w:pPr>
      <w:r>
        <w:t xml:space="preserve">Podle slovenského zákona č. </w:t>
      </w:r>
      <w:r w:rsidRPr="000D2CAC">
        <w:rPr>
          <w:szCs w:val="28"/>
        </w:rPr>
        <w:t>181/2014</w:t>
      </w:r>
      <w:r>
        <w:rPr>
          <w:szCs w:val="28"/>
        </w:rPr>
        <w:t xml:space="preserve"> Z. z., </w:t>
      </w:r>
      <w:r w:rsidRPr="00051F38">
        <w:rPr>
          <w:szCs w:val="28"/>
        </w:rPr>
        <w:t>o volebnej kampani</w:t>
      </w:r>
      <w:r>
        <w:rPr>
          <w:szCs w:val="28"/>
        </w:rPr>
        <w:t>,</w:t>
      </w:r>
      <w:r w:rsidRPr="00051F38">
        <w:rPr>
          <w:szCs w:val="28"/>
        </w:rPr>
        <w:t xml:space="preserve"> </w:t>
      </w:r>
      <w:r>
        <w:t>§ 8, doporučujeme zavedení r</w:t>
      </w:r>
      <w:r>
        <w:t>e</w:t>
      </w:r>
      <w:r>
        <w:t>gistru třetích osob, jež za vlastní prostředky uspořádají kampaň pro politickou stranu nebo hnutí, a zavést maximální limit výdajů třetích osob. Současná podoba novely nijak nebrání tomu, aby st</w:t>
      </w:r>
      <w:r>
        <w:t>a</w:t>
      </w:r>
      <w:r>
        <w:t>milionovou volební kampaň platil např. „Spolek nezávislých obdivovatelů předsedy strany X, z.s.“; pokud se strana X k této kampani sama oficiálně nepřihlásí, limit výdajů na kampaň se neuplatní.</w:t>
      </w:r>
    </w:p>
    <w:p w14:paraId="26838148" w14:textId="6CF473A4" w:rsidR="00862EB1" w:rsidRDefault="00220B69" w:rsidP="0010475E">
      <w:pPr>
        <w:pStyle w:val="Odstavecseseznamem"/>
        <w:numPr>
          <w:ilvl w:val="0"/>
          <w:numId w:val="28"/>
        </w:numPr>
        <w:spacing w:after="0" w:line="240" w:lineRule="auto"/>
        <w:ind w:left="288" w:hanging="288"/>
        <w:contextualSpacing w:val="0"/>
        <w:jc w:val="both"/>
        <w:rPr>
          <w:szCs w:val="28"/>
          <w:u w:val="single"/>
        </w:rPr>
      </w:pPr>
      <w:r>
        <w:rPr>
          <w:szCs w:val="28"/>
          <w:u w:val="single"/>
        </w:rPr>
        <w:t>Centrální evidence s</w:t>
      </w:r>
      <w:r w:rsidR="00676CC1">
        <w:rPr>
          <w:szCs w:val="28"/>
          <w:u w:val="single"/>
        </w:rPr>
        <w:t>mluvních vztahů</w:t>
      </w:r>
      <w:r>
        <w:rPr>
          <w:szCs w:val="28"/>
          <w:u w:val="single"/>
        </w:rPr>
        <w:t xml:space="preserve"> politických stran</w:t>
      </w:r>
      <w:r w:rsidR="003B4A7E">
        <w:rPr>
          <w:szCs w:val="28"/>
          <w:u w:val="single"/>
        </w:rPr>
        <w:t xml:space="preserve"> </w:t>
      </w:r>
      <w:r>
        <w:rPr>
          <w:szCs w:val="28"/>
          <w:u w:val="single"/>
        </w:rPr>
        <w:t xml:space="preserve">a třetích </w:t>
      </w:r>
      <w:r w:rsidR="003E6DF5">
        <w:rPr>
          <w:szCs w:val="28"/>
          <w:u w:val="single"/>
        </w:rPr>
        <w:t>stran</w:t>
      </w:r>
      <w:r w:rsidR="003B4A7E">
        <w:rPr>
          <w:szCs w:val="28"/>
          <w:u w:val="single"/>
        </w:rPr>
        <w:t xml:space="preserve"> </w:t>
      </w:r>
      <w:r>
        <w:rPr>
          <w:szCs w:val="28"/>
          <w:u w:val="single"/>
        </w:rPr>
        <w:t>souvisejících s</w:t>
      </w:r>
      <w:r w:rsidR="00676CC1">
        <w:rPr>
          <w:szCs w:val="28"/>
          <w:u w:val="single"/>
        </w:rPr>
        <w:t> výdaji volební kampaně</w:t>
      </w:r>
    </w:p>
    <w:p w14:paraId="29C2BA6E" w14:textId="2F8D0678" w:rsidR="00432B74" w:rsidRPr="00432B74" w:rsidRDefault="00432B74" w:rsidP="00432B74">
      <w:pPr>
        <w:spacing w:after="0" w:line="240" w:lineRule="auto"/>
        <w:ind w:left="284"/>
        <w:jc w:val="both"/>
        <w:rPr>
          <w:szCs w:val="28"/>
        </w:rPr>
      </w:pPr>
      <w:r>
        <w:rPr>
          <w:szCs w:val="28"/>
        </w:rPr>
        <w:t xml:space="preserve">Doporučujeme zavést </w:t>
      </w:r>
      <w:r w:rsidR="00676CC1">
        <w:rPr>
          <w:szCs w:val="28"/>
        </w:rPr>
        <w:t>evidenci smluvních vztahů</w:t>
      </w:r>
      <w:r w:rsidRPr="00432B74">
        <w:rPr>
          <w:szCs w:val="28"/>
        </w:rPr>
        <w:t xml:space="preserve"> jako informační systém veřejné správy, který slouží k uveřejňování smluv uzavřených v jakékoliv souvislosti s</w:t>
      </w:r>
      <w:r w:rsidR="00676CC1">
        <w:rPr>
          <w:szCs w:val="28"/>
        </w:rPr>
        <w:t xml:space="preserve"> výdaji </w:t>
      </w:r>
      <w:r w:rsidRPr="00432B74">
        <w:rPr>
          <w:szCs w:val="28"/>
        </w:rPr>
        <w:t>volební</w:t>
      </w:r>
      <w:r w:rsidR="00676CC1">
        <w:rPr>
          <w:szCs w:val="28"/>
        </w:rPr>
        <w:t xml:space="preserve"> kampaně </w:t>
      </w:r>
      <w:r w:rsidRPr="00432B74">
        <w:rPr>
          <w:szCs w:val="28"/>
        </w:rPr>
        <w:t xml:space="preserve">politickou stranou, </w:t>
      </w:r>
      <w:r w:rsidR="003E6DF5">
        <w:rPr>
          <w:szCs w:val="28"/>
        </w:rPr>
        <w:t xml:space="preserve">koalicí, </w:t>
      </w:r>
      <w:r w:rsidRPr="00432B74">
        <w:rPr>
          <w:szCs w:val="28"/>
        </w:rPr>
        <w:t>nezávislým kandidátem</w:t>
      </w:r>
      <w:r w:rsidR="003E6DF5">
        <w:rPr>
          <w:szCs w:val="28"/>
        </w:rPr>
        <w:t xml:space="preserve"> nebo třetí stranou</w:t>
      </w:r>
      <w:r w:rsidRPr="00432B74">
        <w:rPr>
          <w:szCs w:val="28"/>
        </w:rPr>
        <w:t xml:space="preserve">. Obsah registru </w:t>
      </w:r>
      <w:r>
        <w:rPr>
          <w:szCs w:val="28"/>
        </w:rPr>
        <w:t>bude</w:t>
      </w:r>
      <w:r w:rsidRPr="00432B74">
        <w:rPr>
          <w:szCs w:val="28"/>
        </w:rPr>
        <w:t xml:space="preserve"> veřejně přístupný způsobem umožňu</w:t>
      </w:r>
      <w:r>
        <w:rPr>
          <w:szCs w:val="28"/>
        </w:rPr>
        <w:t xml:space="preserve">jícím bezplatný dálkový přístup a jeho správu bude mít v gesci dohledový Úřad. </w:t>
      </w:r>
    </w:p>
    <w:p w14:paraId="575D2397" w14:textId="77777777" w:rsidR="003B4A7E" w:rsidRPr="003B4A7E" w:rsidRDefault="003B4A7E" w:rsidP="003B4A7E">
      <w:pPr>
        <w:pStyle w:val="Odstavecseseznamem"/>
        <w:spacing w:after="0" w:line="240" w:lineRule="auto"/>
        <w:ind w:left="288"/>
        <w:contextualSpacing w:val="0"/>
        <w:jc w:val="both"/>
        <w:rPr>
          <w:szCs w:val="28"/>
          <w:u w:val="single"/>
        </w:rPr>
      </w:pPr>
    </w:p>
    <w:p w14:paraId="34395A66" w14:textId="4FF32D7E" w:rsidR="002C1B7E" w:rsidRDefault="002C1B7E" w:rsidP="0010475E">
      <w:pPr>
        <w:pStyle w:val="Odstavecseseznamem"/>
        <w:numPr>
          <w:ilvl w:val="0"/>
          <w:numId w:val="28"/>
        </w:numPr>
        <w:spacing w:after="0" w:line="240" w:lineRule="auto"/>
        <w:ind w:left="284" w:hanging="284"/>
        <w:contextualSpacing w:val="0"/>
        <w:jc w:val="both"/>
        <w:rPr>
          <w:szCs w:val="28"/>
        </w:rPr>
      </w:pPr>
      <w:r>
        <w:rPr>
          <w:szCs w:val="28"/>
          <w:u w:val="single"/>
        </w:rPr>
        <w:t>Limity na dary</w:t>
      </w:r>
    </w:p>
    <w:p w14:paraId="76C24238" w14:textId="14B6E78F" w:rsidR="00862EB1" w:rsidRPr="007107F3" w:rsidRDefault="002C1B7E" w:rsidP="00F4036C">
      <w:pPr>
        <w:pStyle w:val="Odstavecseseznamem"/>
        <w:spacing w:line="240" w:lineRule="auto"/>
        <w:ind w:left="288"/>
        <w:contextualSpacing w:val="0"/>
        <w:jc w:val="both"/>
        <w:rPr>
          <w:szCs w:val="28"/>
        </w:rPr>
      </w:pPr>
      <w:r w:rsidRPr="00AF20A6">
        <w:rPr>
          <w:szCs w:val="28"/>
        </w:rPr>
        <w:t>Na základě zahraničních zkušeností a dat</w:t>
      </w:r>
      <w:r w:rsidR="00AE5A47">
        <w:rPr>
          <w:rStyle w:val="Znakapoznpodarou"/>
          <w:szCs w:val="28"/>
        </w:rPr>
        <w:footnoteReference w:id="1"/>
      </w:r>
      <w:r w:rsidR="00AE5A47" w:rsidRPr="00AF20A6">
        <w:rPr>
          <w:szCs w:val="28"/>
        </w:rPr>
        <w:t xml:space="preserve"> </w:t>
      </w:r>
      <w:r w:rsidRPr="00AF20A6">
        <w:rPr>
          <w:szCs w:val="28"/>
        </w:rPr>
        <w:t>upozorňujeme na t</w:t>
      </w:r>
      <w:r w:rsidR="00624399">
        <w:rPr>
          <w:szCs w:val="28"/>
        </w:rPr>
        <w:t>o</w:t>
      </w:r>
      <w:r w:rsidRPr="00AF20A6">
        <w:rPr>
          <w:szCs w:val="28"/>
        </w:rPr>
        <w:t xml:space="preserve">, </w:t>
      </w:r>
      <w:r w:rsidR="00624399">
        <w:rPr>
          <w:szCs w:val="28"/>
        </w:rPr>
        <w:t>že</w:t>
      </w:r>
      <w:r w:rsidRPr="00AF20A6">
        <w:rPr>
          <w:szCs w:val="28"/>
        </w:rPr>
        <w:t xml:space="preserve"> obcházení limitů na dary je n</w:t>
      </w:r>
      <w:r w:rsidRPr="00AF20A6">
        <w:rPr>
          <w:szCs w:val="28"/>
        </w:rPr>
        <w:t>a</w:t>
      </w:r>
      <w:r w:rsidRPr="00AF20A6">
        <w:rPr>
          <w:szCs w:val="28"/>
        </w:rPr>
        <w:t xml:space="preserve">tolik jednoduché, </w:t>
      </w:r>
      <w:r w:rsidR="008447F5">
        <w:rPr>
          <w:szCs w:val="28"/>
        </w:rPr>
        <w:t xml:space="preserve">že </w:t>
      </w:r>
      <w:r w:rsidRPr="00AF20A6">
        <w:rPr>
          <w:szCs w:val="28"/>
        </w:rPr>
        <w:t xml:space="preserve">vede k rozmachu využívání nastrčených osob </w:t>
      </w:r>
      <w:r w:rsidR="00AE5A47">
        <w:rPr>
          <w:szCs w:val="28"/>
        </w:rPr>
        <w:t xml:space="preserve">(tzv. bílých koňů) </w:t>
      </w:r>
      <w:r w:rsidRPr="00AF20A6">
        <w:rPr>
          <w:szCs w:val="28"/>
        </w:rPr>
        <w:t>a tedy dále snižuje průhlednost příjmů stran</w:t>
      </w:r>
      <w:r w:rsidR="003B4A7E">
        <w:rPr>
          <w:szCs w:val="28"/>
        </w:rPr>
        <w:t>.</w:t>
      </w:r>
    </w:p>
    <w:p w14:paraId="3D06E810" w14:textId="12B2480F" w:rsidR="00DD2903" w:rsidRPr="00385279" w:rsidRDefault="00DD2903" w:rsidP="0010475E">
      <w:pPr>
        <w:pStyle w:val="Odstavecseseznamem"/>
        <w:numPr>
          <w:ilvl w:val="0"/>
          <w:numId w:val="28"/>
        </w:numPr>
        <w:spacing w:after="0" w:line="240" w:lineRule="auto"/>
        <w:ind w:left="360"/>
        <w:contextualSpacing w:val="0"/>
        <w:jc w:val="both"/>
        <w:rPr>
          <w:szCs w:val="28"/>
          <w:u w:val="single"/>
        </w:rPr>
      </w:pPr>
      <w:r>
        <w:rPr>
          <w:szCs w:val="28"/>
          <w:u w:val="single"/>
        </w:rPr>
        <w:t>Limity na výdaje volebních kampaní</w:t>
      </w:r>
    </w:p>
    <w:p w14:paraId="13838D2C" w14:textId="4092F5A9" w:rsidR="0094231D" w:rsidRPr="003B4A7E" w:rsidRDefault="00527308" w:rsidP="00453EC3">
      <w:pPr>
        <w:spacing w:line="240" w:lineRule="auto"/>
        <w:ind w:left="360"/>
        <w:jc w:val="both"/>
        <w:rPr>
          <w:szCs w:val="28"/>
        </w:rPr>
      </w:pPr>
      <w:r w:rsidRPr="003B4A7E">
        <w:rPr>
          <w:szCs w:val="28"/>
        </w:rPr>
        <w:t>Domníváme se</w:t>
      </w:r>
      <w:r w:rsidR="00704031" w:rsidRPr="003B4A7E">
        <w:rPr>
          <w:szCs w:val="28"/>
        </w:rPr>
        <w:t>, že limity na výdaje na volební kampaně mohou přinést pozitivní efekt zlevnění kampaní, ale přinesou nutně řadu snah je obcházet</w:t>
      </w:r>
      <w:r w:rsidR="006420A2" w:rsidRPr="003B4A7E">
        <w:rPr>
          <w:szCs w:val="28"/>
        </w:rPr>
        <w:t xml:space="preserve"> (viz</w:t>
      </w:r>
      <w:r w:rsidR="00437B51" w:rsidRPr="003B4A7E">
        <w:rPr>
          <w:szCs w:val="28"/>
        </w:rPr>
        <w:t>te</w:t>
      </w:r>
      <w:r w:rsidR="006420A2" w:rsidRPr="003B4A7E">
        <w:rPr>
          <w:szCs w:val="28"/>
        </w:rPr>
        <w:t xml:space="preserve"> předchozí doporučení č. 8)</w:t>
      </w:r>
      <w:r w:rsidR="00AA2B95" w:rsidRPr="003B4A7E">
        <w:rPr>
          <w:szCs w:val="28"/>
        </w:rPr>
        <w:t xml:space="preserve">. </w:t>
      </w:r>
      <w:r w:rsidR="00704031" w:rsidRPr="003B4A7E">
        <w:rPr>
          <w:szCs w:val="28"/>
        </w:rPr>
        <w:t>Proto je má smysl zavádět pouze v případě přesně stanovených pravidel pro vykazování nákladů a zajištěné funkční nezávislé kontroly</w:t>
      </w:r>
      <w:r w:rsidR="00AA2B95" w:rsidRPr="003B4A7E">
        <w:rPr>
          <w:szCs w:val="28"/>
        </w:rPr>
        <w:t>.</w:t>
      </w:r>
    </w:p>
    <w:p w14:paraId="39CCE909" w14:textId="610644B7" w:rsidR="003B4A7E" w:rsidRPr="00385279" w:rsidRDefault="003B4A7E" w:rsidP="003B4A7E">
      <w:pPr>
        <w:pStyle w:val="Odstavecseseznamem"/>
        <w:numPr>
          <w:ilvl w:val="0"/>
          <w:numId w:val="28"/>
        </w:numPr>
        <w:spacing w:after="0" w:line="240" w:lineRule="auto"/>
        <w:ind w:left="360"/>
        <w:contextualSpacing w:val="0"/>
        <w:jc w:val="both"/>
        <w:rPr>
          <w:szCs w:val="28"/>
          <w:u w:val="single"/>
        </w:rPr>
      </w:pPr>
      <w:r>
        <w:rPr>
          <w:szCs w:val="28"/>
          <w:u w:val="single"/>
        </w:rPr>
        <w:lastRenderedPageBreak/>
        <w:t xml:space="preserve">Aktivní </w:t>
      </w:r>
      <w:r w:rsidRPr="003B4A7E">
        <w:rPr>
          <w:szCs w:val="28"/>
          <w:u w:val="single"/>
        </w:rPr>
        <w:t>metodická podpora stranám a kandidátům</w:t>
      </w:r>
    </w:p>
    <w:p w14:paraId="5378D2CC" w14:textId="7C3A872A" w:rsidR="00862EB1" w:rsidRDefault="00AA2B95" w:rsidP="003B4A7E">
      <w:pPr>
        <w:spacing w:after="0" w:line="240" w:lineRule="auto"/>
        <w:ind w:left="360"/>
        <w:jc w:val="both"/>
        <w:rPr>
          <w:szCs w:val="28"/>
        </w:rPr>
      </w:pPr>
      <w:r>
        <w:rPr>
          <w:szCs w:val="28"/>
        </w:rPr>
        <w:t>Upozorňujeme na výraznou potřebu metodické pomoci kandidujícím subjektům i jednotlivcům ze</w:t>
      </w:r>
      <w:r w:rsidR="008B61BE">
        <w:rPr>
          <w:szCs w:val="28"/>
        </w:rPr>
        <w:t> </w:t>
      </w:r>
      <w:r>
        <w:rPr>
          <w:szCs w:val="28"/>
        </w:rPr>
        <w:t xml:space="preserve">strany Úřadu. Bude třeba vytvořit řadu výkladových stanovisek a přehledně a srozumitelně je prezentovat. </w:t>
      </w:r>
      <w:r w:rsidRPr="00B134F1">
        <w:rPr>
          <w:szCs w:val="28"/>
        </w:rPr>
        <w:t>Výkladová stanoviska</w:t>
      </w:r>
      <w:r>
        <w:rPr>
          <w:szCs w:val="28"/>
        </w:rPr>
        <w:t xml:space="preserve"> budou muset pokrývat nejasně vymezené praktické prvky </w:t>
      </w:r>
      <w:r w:rsidR="00505E82">
        <w:rPr>
          <w:szCs w:val="28"/>
        </w:rPr>
        <w:t>r</w:t>
      </w:r>
      <w:r w:rsidR="00505E82">
        <w:rPr>
          <w:szCs w:val="28"/>
        </w:rPr>
        <w:t>e</w:t>
      </w:r>
      <w:r w:rsidR="00505E82">
        <w:rPr>
          <w:szCs w:val="28"/>
        </w:rPr>
        <w:t xml:space="preserve">formy </w:t>
      </w:r>
      <w:r>
        <w:rPr>
          <w:szCs w:val="28"/>
        </w:rPr>
        <w:t xml:space="preserve">jako </w:t>
      </w:r>
      <w:r w:rsidR="005C132C">
        <w:rPr>
          <w:szCs w:val="28"/>
        </w:rPr>
        <w:t xml:space="preserve">např. </w:t>
      </w:r>
      <w:r>
        <w:rPr>
          <w:szCs w:val="28"/>
        </w:rPr>
        <w:t>co vše řadit do nákladů na kampaň, jak prakticky určit cenu obvyklou (např. u inzerce či u dobrovolnické práce)</w:t>
      </w:r>
      <w:r w:rsidR="005C132C">
        <w:rPr>
          <w:szCs w:val="28"/>
        </w:rPr>
        <w:t xml:space="preserve"> atd., kde bude docházet k </w:t>
      </w:r>
      <w:r>
        <w:rPr>
          <w:szCs w:val="28"/>
        </w:rPr>
        <w:t>výkladovým problémům.</w:t>
      </w:r>
    </w:p>
    <w:p w14:paraId="03784AD8" w14:textId="1494E2CD" w:rsidR="001946C4" w:rsidRDefault="001946C4" w:rsidP="0010475E">
      <w:pPr>
        <w:spacing w:after="0" w:line="240" w:lineRule="auto"/>
        <w:jc w:val="both"/>
        <w:rPr>
          <w:szCs w:val="28"/>
        </w:rPr>
      </w:pPr>
    </w:p>
    <w:p w14:paraId="38DBECE7" w14:textId="77777777" w:rsidR="001946C4" w:rsidRDefault="001946C4" w:rsidP="0010475E">
      <w:pPr>
        <w:spacing w:after="0" w:line="240" w:lineRule="auto"/>
        <w:jc w:val="both"/>
        <w:rPr>
          <w:szCs w:val="28"/>
        </w:rPr>
      </w:pPr>
    </w:p>
    <w:p w14:paraId="5DDD4D3B" w14:textId="77777777" w:rsidR="00432B74" w:rsidRDefault="00432B74" w:rsidP="0010475E">
      <w:pPr>
        <w:spacing w:after="0" w:line="240" w:lineRule="auto"/>
        <w:jc w:val="both"/>
        <w:rPr>
          <w:szCs w:val="28"/>
        </w:rPr>
      </w:pPr>
    </w:p>
    <w:p w14:paraId="41D1F275" w14:textId="77777777" w:rsidR="0094231D" w:rsidRDefault="0094231D" w:rsidP="0010475E">
      <w:pPr>
        <w:spacing w:after="0" w:line="240" w:lineRule="auto"/>
        <w:jc w:val="both"/>
        <w:rPr>
          <w:szCs w:val="28"/>
        </w:rPr>
      </w:pPr>
    </w:p>
    <w:p w14:paraId="2E4F56FC" w14:textId="77777777" w:rsidR="0094231D" w:rsidRDefault="0094231D" w:rsidP="0010475E">
      <w:pPr>
        <w:spacing w:after="0" w:line="240" w:lineRule="auto"/>
        <w:jc w:val="both"/>
        <w:rPr>
          <w:szCs w:val="28"/>
        </w:rPr>
      </w:pPr>
    </w:p>
    <w:p w14:paraId="34C8CB47" w14:textId="77777777" w:rsidR="0094231D" w:rsidRDefault="0094231D" w:rsidP="0010475E">
      <w:pPr>
        <w:spacing w:after="0" w:line="240" w:lineRule="auto"/>
        <w:jc w:val="both"/>
        <w:rPr>
          <w:szCs w:val="28"/>
        </w:rPr>
      </w:pPr>
    </w:p>
    <w:p w14:paraId="162B3272" w14:textId="77777777" w:rsidR="0094231D" w:rsidRDefault="0094231D" w:rsidP="0010475E">
      <w:pPr>
        <w:spacing w:after="0" w:line="240" w:lineRule="auto"/>
        <w:jc w:val="both"/>
        <w:rPr>
          <w:szCs w:val="28"/>
        </w:rPr>
      </w:pPr>
    </w:p>
    <w:p w14:paraId="123AF61D" w14:textId="77777777" w:rsidR="0094231D" w:rsidRDefault="0094231D" w:rsidP="0010475E">
      <w:pPr>
        <w:spacing w:after="0" w:line="240" w:lineRule="auto"/>
        <w:jc w:val="both"/>
        <w:rPr>
          <w:szCs w:val="28"/>
        </w:rPr>
      </w:pPr>
    </w:p>
    <w:p w14:paraId="7B0080F0" w14:textId="77777777" w:rsidR="0094231D" w:rsidRDefault="0094231D" w:rsidP="0010475E">
      <w:pPr>
        <w:spacing w:after="0" w:line="240" w:lineRule="auto"/>
        <w:jc w:val="both"/>
        <w:rPr>
          <w:szCs w:val="28"/>
        </w:rPr>
      </w:pPr>
    </w:p>
    <w:p w14:paraId="5D5F5F30" w14:textId="77777777" w:rsidR="0094231D" w:rsidRDefault="0094231D" w:rsidP="0010475E">
      <w:pPr>
        <w:spacing w:after="0" w:line="240" w:lineRule="auto"/>
        <w:jc w:val="both"/>
        <w:rPr>
          <w:szCs w:val="28"/>
        </w:rPr>
      </w:pPr>
    </w:p>
    <w:p w14:paraId="2ED392C6" w14:textId="77777777" w:rsidR="0094231D" w:rsidRDefault="0094231D" w:rsidP="0010475E">
      <w:pPr>
        <w:spacing w:after="0" w:line="240" w:lineRule="auto"/>
        <w:jc w:val="both"/>
        <w:rPr>
          <w:szCs w:val="28"/>
        </w:rPr>
      </w:pPr>
    </w:p>
    <w:p w14:paraId="05B283B6" w14:textId="77777777" w:rsidR="0094231D" w:rsidRDefault="0094231D" w:rsidP="0010475E">
      <w:pPr>
        <w:spacing w:after="0" w:line="240" w:lineRule="auto"/>
        <w:jc w:val="both"/>
        <w:rPr>
          <w:szCs w:val="28"/>
        </w:rPr>
      </w:pPr>
    </w:p>
    <w:p w14:paraId="2C737F10" w14:textId="77777777" w:rsidR="0094231D" w:rsidRDefault="0094231D" w:rsidP="0010475E">
      <w:pPr>
        <w:spacing w:after="0" w:line="240" w:lineRule="auto"/>
        <w:jc w:val="both"/>
        <w:rPr>
          <w:szCs w:val="28"/>
        </w:rPr>
      </w:pPr>
    </w:p>
    <w:p w14:paraId="65DE4727" w14:textId="77777777" w:rsidR="0094231D" w:rsidRDefault="0094231D" w:rsidP="0010475E">
      <w:pPr>
        <w:spacing w:after="0" w:line="240" w:lineRule="auto"/>
        <w:jc w:val="both"/>
        <w:rPr>
          <w:szCs w:val="28"/>
        </w:rPr>
      </w:pPr>
    </w:p>
    <w:p w14:paraId="1B5C81CE" w14:textId="77777777" w:rsidR="0094231D" w:rsidRDefault="0094231D" w:rsidP="0010475E">
      <w:pPr>
        <w:spacing w:after="0" w:line="240" w:lineRule="auto"/>
        <w:jc w:val="both"/>
        <w:rPr>
          <w:szCs w:val="28"/>
        </w:rPr>
      </w:pPr>
    </w:p>
    <w:p w14:paraId="46EC7F1F" w14:textId="77777777" w:rsidR="0094231D" w:rsidRDefault="0094231D" w:rsidP="0010475E">
      <w:pPr>
        <w:spacing w:after="0" w:line="240" w:lineRule="auto"/>
        <w:jc w:val="both"/>
        <w:rPr>
          <w:szCs w:val="28"/>
        </w:rPr>
      </w:pPr>
    </w:p>
    <w:p w14:paraId="79D5A672" w14:textId="77777777" w:rsidR="0094231D" w:rsidRDefault="0094231D" w:rsidP="0010475E">
      <w:pPr>
        <w:spacing w:after="0" w:line="240" w:lineRule="auto"/>
        <w:jc w:val="both"/>
        <w:rPr>
          <w:szCs w:val="28"/>
        </w:rPr>
      </w:pPr>
    </w:p>
    <w:p w14:paraId="145F499F" w14:textId="77777777" w:rsidR="0094231D" w:rsidRDefault="0094231D" w:rsidP="0010475E">
      <w:pPr>
        <w:spacing w:after="0" w:line="240" w:lineRule="auto"/>
        <w:jc w:val="both"/>
        <w:rPr>
          <w:szCs w:val="28"/>
        </w:rPr>
      </w:pPr>
    </w:p>
    <w:p w14:paraId="269802F3" w14:textId="77777777" w:rsidR="0094231D" w:rsidRDefault="0094231D" w:rsidP="0010475E">
      <w:pPr>
        <w:spacing w:after="0" w:line="240" w:lineRule="auto"/>
        <w:jc w:val="both"/>
        <w:rPr>
          <w:szCs w:val="28"/>
        </w:rPr>
      </w:pPr>
    </w:p>
    <w:p w14:paraId="30B5E1DF" w14:textId="77777777" w:rsidR="0094231D" w:rsidRDefault="0094231D" w:rsidP="0010475E">
      <w:pPr>
        <w:spacing w:after="0" w:line="240" w:lineRule="auto"/>
        <w:jc w:val="both"/>
        <w:rPr>
          <w:szCs w:val="28"/>
        </w:rPr>
      </w:pPr>
    </w:p>
    <w:p w14:paraId="4CA6E753" w14:textId="77777777" w:rsidR="0094231D" w:rsidRDefault="0094231D" w:rsidP="0010475E">
      <w:pPr>
        <w:spacing w:after="0" w:line="240" w:lineRule="auto"/>
        <w:jc w:val="both"/>
        <w:rPr>
          <w:szCs w:val="28"/>
        </w:rPr>
      </w:pPr>
    </w:p>
    <w:p w14:paraId="3A0547A6" w14:textId="77777777" w:rsidR="0094231D" w:rsidRDefault="0094231D" w:rsidP="0010475E">
      <w:pPr>
        <w:spacing w:after="0" w:line="240" w:lineRule="auto"/>
        <w:jc w:val="both"/>
        <w:rPr>
          <w:szCs w:val="28"/>
        </w:rPr>
      </w:pPr>
    </w:p>
    <w:p w14:paraId="779A85BD" w14:textId="77777777" w:rsidR="0094231D" w:rsidRDefault="0094231D" w:rsidP="0010475E">
      <w:pPr>
        <w:spacing w:after="0" w:line="240" w:lineRule="auto"/>
        <w:jc w:val="both"/>
        <w:rPr>
          <w:szCs w:val="28"/>
        </w:rPr>
      </w:pPr>
    </w:p>
    <w:p w14:paraId="7E09AD13" w14:textId="77777777" w:rsidR="0094231D" w:rsidRDefault="0094231D" w:rsidP="0010475E">
      <w:pPr>
        <w:spacing w:after="0" w:line="240" w:lineRule="auto"/>
        <w:jc w:val="both"/>
        <w:rPr>
          <w:szCs w:val="28"/>
        </w:rPr>
      </w:pPr>
    </w:p>
    <w:p w14:paraId="38CB904D" w14:textId="77777777" w:rsidR="0094231D" w:rsidRDefault="0094231D" w:rsidP="0010475E">
      <w:pPr>
        <w:spacing w:after="0" w:line="240" w:lineRule="auto"/>
        <w:jc w:val="both"/>
        <w:rPr>
          <w:szCs w:val="28"/>
        </w:rPr>
      </w:pPr>
    </w:p>
    <w:p w14:paraId="746BA01A" w14:textId="77777777" w:rsidR="0094231D" w:rsidRDefault="0094231D" w:rsidP="0010475E">
      <w:pPr>
        <w:spacing w:after="0" w:line="240" w:lineRule="auto"/>
        <w:jc w:val="both"/>
        <w:rPr>
          <w:szCs w:val="28"/>
        </w:rPr>
      </w:pPr>
    </w:p>
    <w:p w14:paraId="5FEA063F" w14:textId="77777777" w:rsidR="0094231D" w:rsidRDefault="0094231D" w:rsidP="0010475E">
      <w:pPr>
        <w:spacing w:after="0" w:line="240" w:lineRule="auto"/>
        <w:jc w:val="both"/>
        <w:rPr>
          <w:szCs w:val="28"/>
        </w:rPr>
      </w:pPr>
    </w:p>
    <w:p w14:paraId="2FFE8205" w14:textId="77777777" w:rsidR="0094231D" w:rsidRDefault="0094231D" w:rsidP="0010475E">
      <w:pPr>
        <w:spacing w:after="0" w:line="240" w:lineRule="auto"/>
        <w:jc w:val="both"/>
        <w:rPr>
          <w:szCs w:val="28"/>
        </w:rPr>
      </w:pPr>
    </w:p>
    <w:p w14:paraId="51CEB934" w14:textId="77777777" w:rsidR="0094231D" w:rsidRDefault="0094231D" w:rsidP="0010475E">
      <w:pPr>
        <w:spacing w:after="0" w:line="240" w:lineRule="auto"/>
        <w:jc w:val="both"/>
        <w:rPr>
          <w:szCs w:val="28"/>
        </w:rPr>
      </w:pPr>
    </w:p>
    <w:p w14:paraId="02A3F35C" w14:textId="77777777" w:rsidR="0094231D" w:rsidRDefault="0094231D" w:rsidP="0010475E">
      <w:pPr>
        <w:spacing w:after="0" w:line="240" w:lineRule="auto"/>
        <w:jc w:val="both"/>
        <w:rPr>
          <w:szCs w:val="28"/>
        </w:rPr>
      </w:pPr>
    </w:p>
    <w:p w14:paraId="66BBC060" w14:textId="77777777" w:rsidR="0094231D" w:rsidRDefault="0094231D" w:rsidP="0010475E">
      <w:pPr>
        <w:spacing w:after="0" w:line="240" w:lineRule="auto"/>
        <w:jc w:val="both"/>
        <w:rPr>
          <w:szCs w:val="28"/>
        </w:rPr>
      </w:pPr>
    </w:p>
    <w:p w14:paraId="068ED09B" w14:textId="70D91AD8" w:rsidR="0094231D" w:rsidRDefault="0094231D" w:rsidP="0010475E">
      <w:pPr>
        <w:spacing w:after="0" w:line="240" w:lineRule="auto"/>
        <w:jc w:val="both"/>
        <w:rPr>
          <w:szCs w:val="28"/>
        </w:rPr>
      </w:pPr>
    </w:p>
    <w:p w14:paraId="2FE57DDC" w14:textId="77777777" w:rsidR="0094231D" w:rsidRDefault="0094231D" w:rsidP="0010475E">
      <w:pPr>
        <w:spacing w:after="0" w:line="240" w:lineRule="auto"/>
        <w:jc w:val="both"/>
        <w:rPr>
          <w:szCs w:val="28"/>
        </w:rPr>
      </w:pPr>
    </w:p>
    <w:p w14:paraId="121A3991" w14:textId="77777777" w:rsidR="0094231D" w:rsidRDefault="0094231D" w:rsidP="0010475E">
      <w:pPr>
        <w:spacing w:after="0" w:line="240" w:lineRule="auto"/>
        <w:jc w:val="both"/>
        <w:rPr>
          <w:szCs w:val="28"/>
        </w:rPr>
      </w:pPr>
    </w:p>
    <w:p w14:paraId="131F1E95" w14:textId="77777777" w:rsidR="0094231D" w:rsidRDefault="0094231D" w:rsidP="0010475E">
      <w:pPr>
        <w:spacing w:after="0" w:line="240" w:lineRule="auto"/>
        <w:jc w:val="both"/>
        <w:rPr>
          <w:szCs w:val="28"/>
        </w:rPr>
      </w:pPr>
      <w:bookmarkStart w:id="4" w:name="_GoBack"/>
      <w:bookmarkEnd w:id="4"/>
    </w:p>
    <w:p w14:paraId="0C8CB62B" w14:textId="77777777" w:rsidR="0094231D" w:rsidRDefault="0094231D" w:rsidP="0010475E">
      <w:pPr>
        <w:spacing w:after="0" w:line="240" w:lineRule="auto"/>
        <w:jc w:val="both"/>
        <w:rPr>
          <w:szCs w:val="28"/>
        </w:rPr>
      </w:pPr>
    </w:p>
    <w:p w14:paraId="0D3546FF" w14:textId="77777777" w:rsidR="0094231D" w:rsidRDefault="0094231D" w:rsidP="0010475E">
      <w:pPr>
        <w:spacing w:after="0" w:line="240" w:lineRule="auto"/>
        <w:jc w:val="both"/>
        <w:rPr>
          <w:szCs w:val="28"/>
        </w:rPr>
      </w:pPr>
    </w:p>
    <w:p w14:paraId="6AB3B1A4" w14:textId="3633A3F6" w:rsidR="00FA5F50" w:rsidRDefault="00862EB1" w:rsidP="0010475E">
      <w:pPr>
        <w:spacing w:after="0" w:line="240" w:lineRule="auto"/>
        <w:jc w:val="both"/>
        <w:rPr>
          <w:szCs w:val="28"/>
        </w:rPr>
      </w:pPr>
      <w:r w:rsidRPr="00432B74">
        <w:rPr>
          <w:szCs w:val="28"/>
        </w:rPr>
        <w:t>P</w:t>
      </w:r>
      <w:r w:rsidR="00432B74" w:rsidRPr="00432B74">
        <w:rPr>
          <w:szCs w:val="28"/>
        </w:rPr>
        <w:t xml:space="preserve">odrobnější doporučení, včetně doporučených změn v paragrafovaném znění </w:t>
      </w:r>
      <w:r w:rsidR="00FA5F50" w:rsidRPr="00432B74">
        <w:rPr>
          <w:szCs w:val="28"/>
        </w:rPr>
        <w:t>novel</w:t>
      </w:r>
      <w:r w:rsidR="00432B74" w:rsidRPr="00432B74">
        <w:rPr>
          <w:szCs w:val="28"/>
        </w:rPr>
        <w:t>,</w:t>
      </w:r>
      <w:r w:rsidR="00FA5F50" w:rsidRPr="00432B74">
        <w:rPr>
          <w:szCs w:val="28"/>
        </w:rPr>
        <w:t xml:space="preserve"> jsme poskytli všem relevantním aktérům a rádi budeme nadále spolupracovat na precizaci návrhu.</w:t>
      </w:r>
    </w:p>
    <w:p w14:paraId="7625DDF2" w14:textId="77777777" w:rsidR="00432B74" w:rsidRDefault="00432B74" w:rsidP="0010475E">
      <w:pPr>
        <w:spacing w:after="0" w:line="240" w:lineRule="auto"/>
        <w:jc w:val="both"/>
        <w:rPr>
          <w:szCs w:val="28"/>
        </w:rPr>
      </w:pPr>
    </w:p>
    <w:p w14:paraId="417F1E6C" w14:textId="522E0154" w:rsidR="00A37693" w:rsidRPr="00A37693" w:rsidRDefault="004116F1" w:rsidP="0010475E">
      <w:pPr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Dne </w:t>
      </w:r>
      <w:r w:rsidR="003E6DF5">
        <w:rPr>
          <w:szCs w:val="28"/>
        </w:rPr>
        <w:t>11</w:t>
      </w:r>
      <w:r w:rsidR="009374B9">
        <w:rPr>
          <w:szCs w:val="28"/>
        </w:rPr>
        <w:t>. ledna 2016</w:t>
      </w:r>
      <w:r w:rsidR="00A37693">
        <w:rPr>
          <w:szCs w:val="28"/>
        </w:rPr>
        <w:t xml:space="preserve">, </w:t>
      </w:r>
      <w:r w:rsidR="003E6DF5">
        <w:t>Vít Šimral</w:t>
      </w:r>
      <w:r w:rsidR="00A37693" w:rsidRPr="00F72128">
        <w:t>,</w:t>
      </w:r>
      <w:r>
        <w:t xml:space="preserve"> </w:t>
      </w:r>
      <w:r w:rsidR="003E6DF5">
        <w:t>Josef Karlický</w:t>
      </w:r>
      <w:r w:rsidR="009374B9">
        <w:t xml:space="preserve">, </w:t>
      </w:r>
      <w:r w:rsidR="00A37693" w:rsidRPr="00F72128">
        <w:t>Petr Bou</w:t>
      </w:r>
      <w:r w:rsidR="003E6DF5">
        <w:t>da</w:t>
      </w:r>
      <w:r w:rsidR="002C1B7E">
        <w:t xml:space="preserve">, </w:t>
      </w:r>
      <w:r w:rsidR="003E6DF5">
        <w:t xml:space="preserve">Filip Mazel, </w:t>
      </w:r>
      <w:r w:rsidR="002C1B7E">
        <w:t xml:space="preserve">členové pracovní skupiny </w:t>
      </w:r>
      <w:r w:rsidR="003E6DF5">
        <w:t xml:space="preserve">Frank Bold a Rekonstrukce státu </w:t>
      </w:r>
      <w:r w:rsidR="002C1B7E">
        <w:t>k financování stran</w:t>
      </w:r>
      <w:r w:rsidR="009374B9">
        <w:t>.</w:t>
      </w:r>
    </w:p>
    <w:sectPr w:rsidR="00A37693" w:rsidRPr="00A37693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720E6E" w14:textId="77777777" w:rsidR="000C56F9" w:rsidRDefault="000C56F9" w:rsidP="00701431">
      <w:pPr>
        <w:spacing w:after="0" w:line="240" w:lineRule="auto"/>
      </w:pPr>
      <w:r>
        <w:separator/>
      </w:r>
    </w:p>
  </w:endnote>
  <w:endnote w:type="continuationSeparator" w:id="0">
    <w:p w14:paraId="6BB9B2A8" w14:textId="77777777" w:rsidR="000C56F9" w:rsidRDefault="000C56F9" w:rsidP="00701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7662973"/>
      <w:docPartObj>
        <w:docPartGallery w:val="Page Numbers (Bottom of Page)"/>
        <w:docPartUnique/>
      </w:docPartObj>
    </w:sdtPr>
    <w:sdtEndPr/>
    <w:sdtContent>
      <w:p w14:paraId="2A10F9F7" w14:textId="47C45802" w:rsidR="00C50BDD" w:rsidRDefault="00C50BDD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3E02">
          <w:rPr>
            <w:noProof/>
          </w:rPr>
          <w:t>1</w:t>
        </w:r>
        <w:r>
          <w:fldChar w:fldCharType="end"/>
        </w:r>
      </w:p>
    </w:sdtContent>
  </w:sdt>
  <w:p w14:paraId="685232CC" w14:textId="77777777" w:rsidR="00C50BDD" w:rsidRDefault="00C50BD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6BBA75" w14:textId="77777777" w:rsidR="000C56F9" w:rsidRDefault="000C56F9" w:rsidP="00701431">
      <w:pPr>
        <w:spacing w:after="0" w:line="240" w:lineRule="auto"/>
      </w:pPr>
      <w:r>
        <w:separator/>
      </w:r>
    </w:p>
  </w:footnote>
  <w:footnote w:type="continuationSeparator" w:id="0">
    <w:p w14:paraId="6B6B8794" w14:textId="77777777" w:rsidR="000C56F9" w:rsidRDefault="000C56F9" w:rsidP="00701431">
      <w:pPr>
        <w:spacing w:after="0" w:line="240" w:lineRule="auto"/>
      </w:pPr>
      <w:r>
        <w:continuationSeparator/>
      </w:r>
    </w:p>
  </w:footnote>
  <w:footnote w:id="1">
    <w:p w14:paraId="3990ED06" w14:textId="705FC683" w:rsidR="00AE5A47" w:rsidRPr="00E87E39" w:rsidRDefault="00AE5A47" w:rsidP="00E87E39">
      <w:pPr>
        <w:pStyle w:val="Textpoznpodarou"/>
        <w:spacing w:after="0" w:line="240" w:lineRule="auto"/>
        <w:rPr>
          <w:sz w:val="18"/>
          <w:szCs w:val="18"/>
        </w:rPr>
      </w:pPr>
      <w:r w:rsidRPr="00E87E39">
        <w:rPr>
          <w:rStyle w:val="Znakapoznpodarou"/>
          <w:sz w:val="18"/>
          <w:szCs w:val="18"/>
        </w:rPr>
        <w:footnoteRef/>
      </w:r>
      <w:r w:rsidRPr="00E87E39">
        <w:rPr>
          <w:sz w:val="18"/>
          <w:szCs w:val="18"/>
        </w:rPr>
        <w:t xml:space="preserve"> Viz</w:t>
      </w:r>
      <w:r w:rsidR="00437B51">
        <w:rPr>
          <w:sz w:val="18"/>
          <w:szCs w:val="18"/>
        </w:rPr>
        <w:t>te</w:t>
      </w:r>
      <w:r w:rsidRPr="00E87E39">
        <w:rPr>
          <w:sz w:val="18"/>
          <w:szCs w:val="18"/>
        </w:rPr>
        <w:t xml:space="preserve"> např. </w:t>
      </w:r>
      <w:r w:rsidRPr="00E87E39">
        <w:rPr>
          <w:rFonts w:cs="Arial"/>
          <w:color w:val="000000"/>
          <w:sz w:val="18"/>
          <w:szCs w:val="18"/>
        </w:rPr>
        <w:t>Estonsko: Sikk, Allan</w:t>
      </w:r>
      <w:r w:rsidRPr="00E87E39">
        <w:rPr>
          <w:rStyle w:val="Siln"/>
          <w:rFonts w:cs="Arial"/>
          <w:color w:val="000000"/>
          <w:sz w:val="18"/>
          <w:szCs w:val="18"/>
        </w:rPr>
        <w:t xml:space="preserve"> </w:t>
      </w:r>
      <w:r w:rsidRPr="00E87E39">
        <w:rPr>
          <w:rFonts w:cs="Arial"/>
          <w:color w:val="000000"/>
          <w:sz w:val="18"/>
          <w:szCs w:val="18"/>
        </w:rPr>
        <w:t>&amp; Riho Kangur (2008). “Estonia: The Increasing Costs and Weak Oversight of Party Fina</w:t>
      </w:r>
      <w:r w:rsidRPr="00E87E39">
        <w:rPr>
          <w:rFonts w:cs="Arial"/>
          <w:color w:val="000000"/>
          <w:sz w:val="18"/>
          <w:szCs w:val="18"/>
        </w:rPr>
        <w:t>n</w:t>
      </w:r>
      <w:r w:rsidRPr="00E87E39">
        <w:rPr>
          <w:rFonts w:cs="Arial"/>
          <w:color w:val="000000"/>
          <w:sz w:val="18"/>
          <w:szCs w:val="18"/>
        </w:rPr>
        <w:t xml:space="preserve">ce,” in Steven D. Roper &amp; Janis Ikstens (eds) </w:t>
      </w:r>
      <w:r w:rsidRPr="00E87E39">
        <w:rPr>
          <w:rStyle w:val="Zvraznn"/>
          <w:rFonts w:eastAsiaTheme="majorEastAsia" w:cs="Arial"/>
          <w:color w:val="000000"/>
          <w:sz w:val="18"/>
          <w:szCs w:val="18"/>
        </w:rPr>
        <w:t>Public Finance and Post-Communist Party Development</w:t>
      </w:r>
      <w:r w:rsidRPr="00E87E39">
        <w:rPr>
          <w:rFonts w:cs="Arial"/>
          <w:color w:val="000000"/>
          <w:sz w:val="18"/>
          <w:szCs w:val="18"/>
        </w:rPr>
        <w:t>, Aldershot: Ashgate.</w:t>
      </w:r>
      <w:r w:rsidR="00AA2B95" w:rsidRPr="00E87E39">
        <w:rPr>
          <w:rFonts w:cs="Arial"/>
          <w:color w:val="000000"/>
          <w:sz w:val="18"/>
          <w:szCs w:val="18"/>
        </w:rPr>
        <w:t xml:space="preserve"> </w:t>
      </w:r>
      <w:r w:rsidRPr="00E87E39">
        <w:rPr>
          <w:rFonts w:cs="Arial"/>
          <w:color w:val="000000"/>
          <w:sz w:val="18"/>
          <w:szCs w:val="18"/>
        </w:rPr>
        <w:t>Litva: Vitalija Simonaytite a Vaida Jankauskaite (2014): When The State Takes Over The Interest Groups: A Case of Lith</w:t>
      </w:r>
      <w:r w:rsidRPr="00E87E39">
        <w:rPr>
          <w:rFonts w:cs="Arial"/>
          <w:color w:val="000000"/>
          <w:sz w:val="18"/>
          <w:szCs w:val="18"/>
        </w:rPr>
        <w:t>u</w:t>
      </w:r>
      <w:r w:rsidRPr="00E87E39">
        <w:rPr>
          <w:rFonts w:cs="Arial"/>
          <w:color w:val="000000"/>
          <w:sz w:val="18"/>
          <w:szCs w:val="18"/>
        </w:rPr>
        <w:t>anian Political Party Funding. Paper presented at the ECPR Graduate Conference in Innsbruck.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5911FE" w14:textId="77777777" w:rsidR="00C50BDD" w:rsidRDefault="00C50BDD" w:rsidP="00701431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203C127B" wp14:editId="3B9DC171">
          <wp:simplePos x="0" y="0"/>
          <wp:positionH relativeFrom="column">
            <wp:posOffset>4396105</wp:posOffset>
          </wp:positionH>
          <wp:positionV relativeFrom="paragraph">
            <wp:posOffset>-59055</wp:posOffset>
          </wp:positionV>
          <wp:extent cx="1381125" cy="361950"/>
          <wp:effectExtent l="0" t="0" r="0" b="0"/>
          <wp:wrapTight wrapText="bothSides">
            <wp:wrapPolygon edited="0">
              <wp:start x="16684" y="0"/>
              <wp:lineTo x="298" y="1137"/>
              <wp:lineTo x="298" y="11368"/>
              <wp:lineTo x="9236" y="18189"/>
              <wp:lineTo x="9832" y="20463"/>
              <wp:lineTo x="20259" y="20463"/>
              <wp:lineTo x="21153" y="10232"/>
              <wp:lineTo x="20557" y="4547"/>
              <wp:lineTo x="18770" y="0"/>
              <wp:lineTo x="16684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T_logo_pruhledn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1125" cy="361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91403B5" w14:textId="77777777" w:rsidR="00C50BDD" w:rsidRDefault="00C50BD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1392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DD54A6E"/>
    <w:multiLevelType w:val="hybridMultilevel"/>
    <w:tmpl w:val="6E2E64D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B624630">
      <w:numFmt w:val="bullet"/>
      <w:lvlText w:val="&gt;"/>
      <w:lvlJc w:val="left"/>
      <w:pPr>
        <w:ind w:left="2160" w:hanging="360"/>
      </w:pPr>
      <w:rPr>
        <w:rFonts w:ascii="Calibri" w:eastAsia="Calibri" w:hAnsi="Calibri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212F7F"/>
    <w:multiLevelType w:val="hybridMultilevel"/>
    <w:tmpl w:val="BEE83EB8"/>
    <w:lvl w:ilvl="0" w:tplc="9D6483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304273"/>
    <w:multiLevelType w:val="hybridMultilevel"/>
    <w:tmpl w:val="C056511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8D2FA6"/>
    <w:multiLevelType w:val="hybridMultilevel"/>
    <w:tmpl w:val="031C98E6"/>
    <w:lvl w:ilvl="0" w:tplc="4C9085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A770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189125A5"/>
    <w:multiLevelType w:val="hybridMultilevel"/>
    <w:tmpl w:val="88E41A1E"/>
    <w:lvl w:ilvl="0" w:tplc="5E928596">
      <w:start w:val="1"/>
      <w:numFmt w:val="lowerLetter"/>
      <w:lvlText w:val="%1)"/>
      <w:lvlJc w:val="left"/>
      <w:pPr>
        <w:ind w:left="644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9714B93"/>
    <w:multiLevelType w:val="hybridMultilevel"/>
    <w:tmpl w:val="A0A8F3B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CE18B0"/>
    <w:multiLevelType w:val="hybridMultilevel"/>
    <w:tmpl w:val="8D3E0B7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E576D7"/>
    <w:multiLevelType w:val="hybridMultilevel"/>
    <w:tmpl w:val="2B5A714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713B0D"/>
    <w:multiLevelType w:val="hybridMultilevel"/>
    <w:tmpl w:val="4C061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DE32DE"/>
    <w:multiLevelType w:val="hybridMultilevel"/>
    <w:tmpl w:val="220C7240"/>
    <w:lvl w:ilvl="0" w:tplc="8FDA35B8">
      <w:start w:val="1"/>
      <w:numFmt w:val="lowerLetter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FA6258E"/>
    <w:multiLevelType w:val="hybridMultilevel"/>
    <w:tmpl w:val="C056511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BC4B29"/>
    <w:multiLevelType w:val="hybridMultilevel"/>
    <w:tmpl w:val="F76212A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E733CC"/>
    <w:multiLevelType w:val="hybridMultilevel"/>
    <w:tmpl w:val="407C3F7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544E19"/>
    <w:multiLevelType w:val="hybridMultilevel"/>
    <w:tmpl w:val="DA0C8EF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F3177B"/>
    <w:multiLevelType w:val="hybridMultilevel"/>
    <w:tmpl w:val="E34C8A9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1B7202"/>
    <w:multiLevelType w:val="hybridMultilevel"/>
    <w:tmpl w:val="AA40C71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A3F39DF"/>
    <w:multiLevelType w:val="multilevel"/>
    <w:tmpl w:val="B3204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BF3201F"/>
    <w:multiLevelType w:val="hybridMultilevel"/>
    <w:tmpl w:val="0232BB4E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0">
    <w:nsid w:val="3C6C4DE1"/>
    <w:multiLevelType w:val="hybridMultilevel"/>
    <w:tmpl w:val="695684E2"/>
    <w:lvl w:ilvl="0" w:tplc="1DCEE31C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FA020C"/>
    <w:multiLevelType w:val="hybridMultilevel"/>
    <w:tmpl w:val="678AA242"/>
    <w:lvl w:ilvl="0" w:tplc="383CE51E">
      <w:numFmt w:val="bullet"/>
      <w:lvlText w:val="-"/>
      <w:lvlJc w:val="left"/>
      <w:pPr>
        <w:ind w:left="644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>
    <w:nsid w:val="3D9E28F4"/>
    <w:multiLevelType w:val="hybridMultilevel"/>
    <w:tmpl w:val="D632C40C"/>
    <w:lvl w:ilvl="0" w:tplc="8FCE6CB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E52143"/>
    <w:multiLevelType w:val="hybridMultilevel"/>
    <w:tmpl w:val="61E2A99E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4">
    <w:nsid w:val="419E7D22"/>
    <w:multiLevelType w:val="hybridMultilevel"/>
    <w:tmpl w:val="F4D4EBB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091AC8"/>
    <w:multiLevelType w:val="hybridMultilevel"/>
    <w:tmpl w:val="955099E8"/>
    <w:lvl w:ilvl="0" w:tplc="4594998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0A256C"/>
    <w:multiLevelType w:val="hybridMultilevel"/>
    <w:tmpl w:val="086C6282"/>
    <w:lvl w:ilvl="0" w:tplc="9EF82E70">
      <w:start w:val="1"/>
      <w:numFmt w:val="upperLetter"/>
      <w:lvlText w:val="%1)"/>
      <w:lvlJc w:val="left"/>
      <w:pPr>
        <w:ind w:left="644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465A372A"/>
    <w:multiLevelType w:val="hybridMultilevel"/>
    <w:tmpl w:val="42AC1D1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BD743E"/>
    <w:multiLevelType w:val="hybridMultilevel"/>
    <w:tmpl w:val="5582E8A8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4144BB6"/>
    <w:multiLevelType w:val="hybridMultilevel"/>
    <w:tmpl w:val="FAA090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09027E"/>
    <w:multiLevelType w:val="hybridMultilevel"/>
    <w:tmpl w:val="8162F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CF163D"/>
    <w:multiLevelType w:val="hybridMultilevel"/>
    <w:tmpl w:val="116CB3D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3859B0"/>
    <w:multiLevelType w:val="hybridMultilevel"/>
    <w:tmpl w:val="DDD01A34"/>
    <w:lvl w:ilvl="0" w:tplc="4600EDA6">
      <w:start w:val="1"/>
      <w:numFmt w:val="lowerLetter"/>
      <w:lvlText w:val="%1)"/>
      <w:lvlJc w:val="left"/>
      <w:pPr>
        <w:ind w:left="644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6D214C75"/>
    <w:multiLevelType w:val="hybridMultilevel"/>
    <w:tmpl w:val="5AFE3C1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872BA0"/>
    <w:multiLevelType w:val="hybridMultilevel"/>
    <w:tmpl w:val="A0E61FD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5B71C4"/>
    <w:multiLevelType w:val="hybridMultilevel"/>
    <w:tmpl w:val="9C0047BA"/>
    <w:lvl w:ilvl="0" w:tplc="0D2479CC">
      <w:start w:val="1"/>
      <w:numFmt w:val="decimal"/>
      <w:pStyle w:val="Nadpis1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387767"/>
    <w:multiLevelType w:val="hybridMultilevel"/>
    <w:tmpl w:val="0A3E42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10B7F71"/>
    <w:multiLevelType w:val="hybridMultilevel"/>
    <w:tmpl w:val="29DEB05A"/>
    <w:lvl w:ilvl="0" w:tplc="6340FA0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71D42D98"/>
    <w:multiLevelType w:val="hybridMultilevel"/>
    <w:tmpl w:val="0862DB5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D67ABE"/>
    <w:multiLevelType w:val="hybridMultilevel"/>
    <w:tmpl w:val="718ED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71E1C8F"/>
    <w:multiLevelType w:val="hybridMultilevel"/>
    <w:tmpl w:val="B26A389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9423428"/>
    <w:multiLevelType w:val="hybridMultilevel"/>
    <w:tmpl w:val="0D3CFF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C25655C"/>
    <w:multiLevelType w:val="hybridMultilevel"/>
    <w:tmpl w:val="681C794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F0E0FCF"/>
    <w:multiLevelType w:val="hybridMultilevel"/>
    <w:tmpl w:val="3BCEA226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5"/>
  </w:num>
  <w:num w:numId="2">
    <w:abstractNumId w:val="14"/>
  </w:num>
  <w:num w:numId="3">
    <w:abstractNumId w:val="29"/>
  </w:num>
  <w:num w:numId="4">
    <w:abstractNumId w:val="41"/>
  </w:num>
  <w:num w:numId="5">
    <w:abstractNumId w:val="36"/>
  </w:num>
  <w:num w:numId="6">
    <w:abstractNumId w:val="1"/>
  </w:num>
  <w:num w:numId="7">
    <w:abstractNumId w:val="4"/>
  </w:num>
  <w:num w:numId="8">
    <w:abstractNumId w:val="4"/>
    <w:lvlOverride w:ilvl="0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0"/>
  </w:num>
  <w:num w:numId="12">
    <w:abstractNumId w:val="17"/>
  </w:num>
  <w:num w:numId="13">
    <w:abstractNumId w:val="15"/>
  </w:num>
  <w:num w:numId="14">
    <w:abstractNumId w:val="40"/>
  </w:num>
  <w:num w:numId="15">
    <w:abstractNumId w:val="16"/>
  </w:num>
  <w:num w:numId="16">
    <w:abstractNumId w:val="42"/>
  </w:num>
  <w:num w:numId="17">
    <w:abstractNumId w:val="2"/>
  </w:num>
  <w:num w:numId="18">
    <w:abstractNumId w:val="31"/>
  </w:num>
  <w:num w:numId="19">
    <w:abstractNumId w:val="24"/>
  </w:num>
  <w:num w:numId="20">
    <w:abstractNumId w:val="9"/>
  </w:num>
  <w:num w:numId="21">
    <w:abstractNumId w:val="33"/>
  </w:num>
  <w:num w:numId="22">
    <w:abstractNumId w:val="28"/>
  </w:num>
  <w:num w:numId="23">
    <w:abstractNumId w:val="38"/>
  </w:num>
  <w:num w:numId="24">
    <w:abstractNumId w:val="13"/>
  </w:num>
  <w:num w:numId="25">
    <w:abstractNumId w:val="7"/>
  </w:num>
  <w:num w:numId="26">
    <w:abstractNumId w:val="19"/>
  </w:num>
  <w:num w:numId="27">
    <w:abstractNumId w:val="23"/>
  </w:num>
  <w:num w:numId="28">
    <w:abstractNumId w:val="27"/>
  </w:num>
  <w:num w:numId="29">
    <w:abstractNumId w:val="25"/>
  </w:num>
  <w:num w:numId="30">
    <w:abstractNumId w:val="3"/>
  </w:num>
  <w:num w:numId="31">
    <w:abstractNumId w:val="18"/>
  </w:num>
  <w:num w:numId="32">
    <w:abstractNumId w:val="8"/>
  </w:num>
  <w:num w:numId="33">
    <w:abstractNumId w:val="21"/>
  </w:num>
  <w:num w:numId="34">
    <w:abstractNumId w:val="43"/>
  </w:num>
  <w:num w:numId="35">
    <w:abstractNumId w:val="32"/>
  </w:num>
  <w:num w:numId="36">
    <w:abstractNumId w:val="26"/>
  </w:num>
  <w:num w:numId="37">
    <w:abstractNumId w:val="5"/>
  </w:num>
  <w:num w:numId="38">
    <w:abstractNumId w:val="34"/>
  </w:num>
  <w:num w:numId="39">
    <w:abstractNumId w:val="6"/>
  </w:num>
  <w:num w:numId="40">
    <w:abstractNumId w:val="37"/>
  </w:num>
  <w:num w:numId="41">
    <w:abstractNumId w:val="22"/>
  </w:num>
  <w:num w:numId="42">
    <w:abstractNumId w:val="30"/>
  </w:num>
  <w:num w:numId="43">
    <w:abstractNumId w:val="39"/>
  </w:num>
  <w:num w:numId="44">
    <w:abstractNumId w:val="12"/>
  </w:num>
  <w:num w:numId="4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435"/>
    <w:rsid w:val="0002625E"/>
    <w:rsid w:val="00031349"/>
    <w:rsid w:val="00033824"/>
    <w:rsid w:val="00051718"/>
    <w:rsid w:val="00051F38"/>
    <w:rsid w:val="00066DFF"/>
    <w:rsid w:val="00074FC5"/>
    <w:rsid w:val="00092E37"/>
    <w:rsid w:val="000A3ABA"/>
    <w:rsid w:val="000A4F21"/>
    <w:rsid w:val="000B18BF"/>
    <w:rsid w:val="000B68E0"/>
    <w:rsid w:val="000C4C97"/>
    <w:rsid w:val="000C56F9"/>
    <w:rsid w:val="000C5F10"/>
    <w:rsid w:val="000C653B"/>
    <w:rsid w:val="000D28E7"/>
    <w:rsid w:val="000D2CAC"/>
    <w:rsid w:val="000E3675"/>
    <w:rsid w:val="000E440E"/>
    <w:rsid w:val="000F3040"/>
    <w:rsid w:val="0010199D"/>
    <w:rsid w:val="001029FE"/>
    <w:rsid w:val="0010475E"/>
    <w:rsid w:val="001456DD"/>
    <w:rsid w:val="001551F1"/>
    <w:rsid w:val="00173D4B"/>
    <w:rsid w:val="00174F0E"/>
    <w:rsid w:val="00185943"/>
    <w:rsid w:val="001946C4"/>
    <w:rsid w:val="001A135C"/>
    <w:rsid w:val="001A2803"/>
    <w:rsid w:val="001A5FED"/>
    <w:rsid w:val="001A7AA9"/>
    <w:rsid w:val="001B44A2"/>
    <w:rsid w:val="001C2A5E"/>
    <w:rsid w:val="001C6107"/>
    <w:rsid w:val="001E329A"/>
    <w:rsid w:val="001E7121"/>
    <w:rsid w:val="001F726D"/>
    <w:rsid w:val="00210360"/>
    <w:rsid w:val="00220B69"/>
    <w:rsid w:val="00222307"/>
    <w:rsid w:val="002247B5"/>
    <w:rsid w:val="0023279E"/>
    <w:rsid w:val="00234EA8"/>
    <w:rsid w:val="00237223"/>
    <w:rsid w:val="00287940"/>
    <w:rsid w:val="002A24AA"/>
    <w:rsid w:val="002A2D42"/>
    <w:rsid w:val="002B71F5"/>
    <w:rsid w:val="002B7260"/>
    <w:rsid w:val="002C1B7E"/>
    <w:rsid w:val="002C5BD2"/>
    <w:rsid w:val="002D4C8C"/>
    <w:rsid w:val="002F071B"/>
    <w:rsid w:val="002F29A7"/>
    <w:rsid w:val="002F445B"/>
    <w:rsid w:val="002F7C90"/>
    <w:rsid w:val="00301873"/>
    <w:rsid w:val="00313DC7"/>
    <w:rsid w:val="00315200"/>
    <w:rsid w:val="00325833"/>
    <w:rsid w:val="003266DE"/>
    <w:rsid w:val="003324BE"/>
    <w:rsid w:val="0033715B"/>
    <w:rsid w:val="00385279"/>
    <w:rsid w:val="003932E5"/>
    <w:rsid w:val="0039344C"/>
    <w:rsid w:val="00395CA1"/>
    <w:rsid w:val="003A6FCC"/>
    <w:rsid w:val="003B4A7E"/>
    <w:rsid w:val="003B7786"/>
    <w:rsid w:val="003D262B"/>
    <w:rsid w:val="003D61F3"/>
    <w:rsid w:val="003E4171"/>
    <w:rsid w:val="003E6DF5"/>
    <w:rsid w:val="004116F1"/>
    <w:rsid w:val="0041347C"/>
    <w:rsid w:val="004322B2"/>
    <w:rsid w:val="00432B74"/>
    <w:rsid w:val="00437B51"/>
    <w:rsid w:val="004413FD"/>
    <w:rsid w:val="00442BF5"/>
    <w:rsid w:val="00453EC3"/>
    <w:rsid w:val="00475C61"/>
    <w:rsid w:val="00482D73"/>
    <w:rsid w:val="004849C3"/>
    <w:rsid w:val="00484C7B"/>
    <w:rsid w:val="004862D2"/>
    <w:rsid w:val="004920A6"/>
    <w:rsid w:val="00494372"/>
    <w:rsid w:val="00494EA3"/>
    <w:rsid w:val="004976BF"/>
    <w:rsid w:val="004A23C7"/>
    <w:rsid w:val="004A659D"/>
    <w:rsid w:val="004B5DAA"/>
    <w:rsid w:val="004C1BF6"/>
    <w:rsid w:val="004D5E03"/>
    <w:rsid w:val="004D72AC"/>
    <w:rsid w:val="004F5D0C"/>
    <w:rsid w:val="0050462E"/>
    <w:rsid w:val="00505E82"/>
    <w:rsid w:val="00511415"/>
    <w:rsid w:val="00517139"/>
    <w:rsid w:val="00527308"/>
    <w:rsid w:val="005801E6"/>
    <w:rsid w:val="00590441"/>
    <w:rsid w:val="005A4BC0"/>
    <w:rsid w:val="005C0889"/>
    <w:rsid w:val="005C132C"/>
    <w:rsid w:val="005C3525"/>
    <w:rsid w:val="005C45DD"/>
    <w:rsid w:val="005D3E02"/>
    <w:rsid w:val="005F0D0F"/>
    <w:rsid w:val="005F3C13"/>
    <w:rsid w:val="005F46A6"/>
    <w:rsid w:val="005F4EDC"/>
    <w:rsid w:val="00600A80"/>
    <w:rsid w:val="006066E4"/>
    <w:rsid w:val="00606A49"/>
    <w:rsid w:val="00611F74"/>
    <w:rsid w:val="00612C7B"/>
    <w:rsid w:val="00624399"/>
    <w:rsid w:val="00637A98"/>
    <w:rsid w:val="006420A2"/>
    <w:rsid w:val="00653353"/>
    <w:rsid w:val="00654ACA"/>
    <w:rsid w:val="00676CC1"/>
    <w:rsid w:val="006839D4"/>
    <w:rsid w:val="0068423B"/>
    <w:rsid w:val="00685FE4"/>
    <w:rsid w:val="00686207"/>
    <w:rsid w:val="00695E9B"/>
    <w:rsid w:val="006B0C3F"/>
    <w:rsid w:val="006D29D3"/>
    <w:rsid w:val="006F00BB"/>
    <w:rsid w:val="006F0B1A"/>
    <w:rsid w:val="00701431"/>
    <w:rsid w:val="00704031"/>
    <w:rsid w:val="00706E78"/>
    <w:rsid w:val="007107F3"/>
    <w:rsid w:val="00711757"/>
    <w:rsid w:val="00713BC1"/>
    <w:rsid w:val="00727358"/>
    <w:rsid w:val="00734389"/>
    <w:rsid w:val="0076233D"/>
    <w:rsid w:val="007631C8"/>
    <w:rsid w:val="00764C97"/>
    <w:rsid w:val="00790674"/>
    <w:rsid w:val="007906E0"/>
    <w:rsid w:val="00790C59"/>
    <w:rsid w:val="00796B88"/>
    <w:rsid w:val="007A0664"/>
    <w:rsid w:val="007B4EF5"/>
    <w:rsid w:val="007C0CE7"/>
    <w:rsid w:val="007D0435"/>
    <w:rsid w:val="007D087B"/>
    <w:rsid w:val="007D4484"/>
    <w:rsid w:val="007D5036"/>
    <w:rsid w:val="007D7B3C"/>
    <w:rsid w:val="007E03F6"/>
    <w:rsid w:val="007F2012"/>
    <w:rsid w:val="00800563"/>
    <w:rsid w:val="0080404D"/>
    <w:rsid w:val="0081361B"/>
    <w:rsid w:val="00822430"/>
    <w:rsid w:val="00832221"/>
    <w:rsid w:val="00832D39"/>
    <w:rsid w:val="00834A68"/>
    <w:rsid w:val="00835D71"/>
    <w:rsid w:val="008447F5"/>
    <w:rsid w:val="00862EB1"/>
    <w:rsid w:val="0087426F"/>
    <w:rsid w:val="00877536"/>
    <w:rsid w:val="008A1363"/>
    <w:rsid w:val="008A2BA2"/>
    <w:rsid w:val="008B01FC"/>
    <w:rsid w:val="008B61BE"/>
    <w:rsid w:val="008B62E4"/>
    <w:rsid w:val="008C737E"/>
    <w:rsid w:val="008E50EC"/>
    <w:rsid w:val="00901F0D"/>
    <w:rsid w:val="009127C7"/>
    <w:rsid w:val="00922FC5"/>
    <w:rsid w:val="00935853"/>
    <w:rsid w:val="009374B9"/>
    <w:rsid w:val="00940519"/>
    <w:rsid w:val="0094231D"/>
    <w:rsid w:val="0095424E"/>
    <w:rsid w:val="009642A0"/>
    <w:rsid w:val="0097629D"/>
    <w:rsid w:val="009766D2"/>
    <w:rsid w:val="00986704"/>
    <w:rsid w:val="009B00FF"/>
    <w:rsid w:val="009C40A7"/>
    <w:rsid w:val="009D29D9"/>
    <w:rsid w:val="009D621C"/>
    <w:rsid w:val="009E0BDC"/>
    <w:rsid w:val="00A11B99"/>
    <w:rsid w:val="00A21362"/>
    <w:rsid w:val="00A239FA"/>
    <w:rsid w:val="00A37693"/>
    <w:rsid w:val="00A411FB"/>
    <w:rsid w:val="00A466C9"/>
    <w:rsid w:val="00A46E6F"/>
    <w:rsid w:val="00A60D29"/>
    <w:rsid w:val="00A614A5"/>
    <w:rsid w:val="00A62783"/>
    <w:rsid w:val="00A64D3A"/>
    <w:rsid w:val="00A6687D"/>
    <w:rsid w:val="00A800C2"/>
    <w:rsid w:val="00A85651"/>
    <w:rsid w:val="00A90AE0"/>
    <w:rsid w:val="00A94286"/>
    <w:rsid w:val="00A97B3C"/>
    <w:rsid w:val="00AA2B95"/>
    <w:rsid w:val="00AB4A3B"/>
    <w:rsid w:val="00AB5664"/>
    <w:rsid w:val="00AD6E7E"/>
    <w:rsid w:val="00AE34B0"/>
    <w:rsid w:val="00AE4A28"/>
    <w:rsid w:val="00AE4DB6"/>
    <w:rsid w:val="00AE5A47"/>
    <w:rsid w:val="00AF20A6"/>
    <w:rsid w:val="00AF4FF5"/>
    <w:rsid w:val="00B02B2B"/>
    <w:rsid w:val="00B06E9B"/>
    <w:rsid w:val="00B104F0"/>
    <w:rsid w:val="00B134F1"/>
    <w:rsid w:val="00B175F3"/>
    <w:rsid w:val="00B21F37"/>
    <w:rsid w:val="00B26D58"/>
    <w:rsid w:val="00B36AAE"/>
    <w:rsid w:val="00B404BE"/>
    <w:rsid w:val="00B40C47"/>
    <w:rsid w:val="00B40F3C"/>
    <w:rsid w:val="00B52289"/>
    <w:rsid w:val="00B6571E"/>
    <w:rsid w:val="00B80138"/>
    <w:rsid w:val="00B95126"/>
    <w:rsid w:val="00BB24D5"/>
    <w:rsid w:val="00BB4B89"/>
    <w:rsid w:val="00BC2AD1"/>
    <w:rsid w:val="00BE1C90"/>
    <w:rsid w:val="00BE7218"/>
    <w:rsid w:val="00BE72B9"/>
    <w:rsid w:val="00C04ABC"/>
    <w:rsid w:val="00C134E3"/>
    <w:rsid w:val="00C2015B"/>
    <w:rsid w:val="00C3778B"/>
    <w:rsid w:val="00C50BDD"/>
    <w:rsid w:val="00C57B77"/>
    <w:rsid w:val="00C82243"/>
    <w:rsid w:val="00CA25B6"/>
    <w:rsid w:val="00CB5E80"/>
    <w:rsid w:val="00CB6175"/>
    <w:rsid w:val="00CD0034"/>
    <w:rsid w:val="00CE29DF"/>
    <w:rsid w:val="00CE6974"/>
    <w:rsid w:val="00D116D7"/>
    <w:rsid w:val="00D12CBE"/>
    <w:rsid w:val="00D16B40"/>
    <w:rsid w:val="00D22A7C"/>
    <w:rsid w:val="00D75036"/>
    <w:rsid w:val="00D807F9"/>
    <w:rsid w:val="00D81682"/>
    <w:rsid w:val="00D82220"/>
    <w:rsid w:val="00D86E53"/>
    <w:rsid w:val="00DA3F90"/>
    <w:rsid w:val="00DA4D58"/>
    <w:rsid w:val="00DA7750"/>
    <w:rsid w:val="00DB250D"/>
    <w:rsid w:val="00DB514D"/>
    <w:rsid w:val="00DB7D59"/>
    <w:rsid w:val="00DD2371"/>
    <w:rsid w:val="00DD2903"/>
    <w:rsid w:val="00DE12D9"/>
    <w:rsid w:val="00DE6046"/>
    <w:rsid w:val="00DF79AB"/>
    <w:rsid w:val="00E02711"/>
    <w:rsid w:val="00E12D8E"/>
    <w:rsid w:val="00E17D90"/>
    <w:rsid w:val="00E351F8"/>
    <w:rsid w:val="00E413AD"/>
    <w:rsid w:val="00E45D70"/>
    <w:rsid w:val="00E57B5A"/>
    <w:rsid w:val="00E87E39"/>
    <w:rsid w:val="00E94535"/>
    <w:rsid w:val="00E968CC"/>
    <w:rsid w:val="00EB0095"/>
    <w:rsid w:val="00EB05C4"/>
    <w:rsid w:val="00EB15EC"/>
    <w:rsid w:val="00EB267D"/>
    <w:rsid w:val="00EB3CCD"/>
    <w:rsid w:val="00ED0BB4"/>
    <w:rsid w:val="00ED22AF"/>
    <w:rsid w:val="00F00E8F"/>
    <w:rsid w:val="00F01028"/>
    <w:rsid w:val="00F06B05"/>
    <w:rsid w:val="00F11042"/>
    <w:rsid w:val="00F16EB2"/>
    <w:rsid w:val="00F21279"/>
    <w:rsid w:val="00F241B8"/>
    <w:rsid w:val="00F3122C"/>
    <w:rsid w:val="00F34443"/>
    <w:rsid w:val="00F4036C"/>
    <w:rsid w:val="00F40BBE"/>
    <w:rsid w:val="00F53533"/>
    <w:rsid w:val="00F54B73"/>
    <w:rsid w:val="00F570AC"/>
    <w:rsid w:val="00F57D00"/>
    <w:rsid w:val="00F62B52"/>
    <w:rsid w:val="00F63B19"/>
    <w:rsid w:val="00F72128"/>
    <w:rsid w:val="00F903D7"/>
    <w:rsid w:val="00FA5F50"/>
    <w:rsid w:val="00FB00E3"/>
    <w:rsid w:val="00FC2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CE8B2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01431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ED22AF"/>
    <w:pPr>
      <w:keepNext/>
      <w:numPr>
        <w:numId w:val="1"/>
      </w:numPr>
      <w:spacing w:before="240" w:after="60"/>
      <w:outlineLvl w:val="0"/>
    </w:pPr>
    <w:rPr>
      <w:rFonts w:eastAsiaTheme="majorEastAsia" w:cstheme="minorHAnsi"/>
      <w:b/>
      <w:bCs/>
      <w:kern w:val="32"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qFormat/>
    <w:rsid w:val="003B4A7E"/>
    <w:pPr>
      <w:keepNext/>
      <w:keepLines/>
      <w:spacing w:before="40" w:after="0"/>
      <w:outlineLvl w:val="2"/>
    </w:pPr>
    <w:rPr>
      <w:rFonts w:eastAsiaTheme="majorEastAsia" w:cstheme="majorBidi"/>
      <w:b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ED22AF"/>
  </w:style>
  <w:style w:type="character" w:customStyle="1" w:styleId="Nadpis1Char">
    <w:name w:val="Nadpis 1 Char"/>
    <w:basedOn w:val="Standardnpsmoodstavce"/>
    <w:link w:val="Nadpis1"/>
    <w:uiPriority w:val="9"/>
    <w:rsid w:val="00ED22AF"/>
    <w:rPr>
      <w:rFonts w:eastAsiaTheme="majorEastAsia" w:cstheme="minorHAnsi"/>
      <w:b/>
      <w:bCs/>
      <w:kern w:val="32"/>
      <w:sz w:val="36"/>
      <w:szCs w:val="36"/>
      <w:lang w:eastAsia="cs-CZ"/>
    </w:rPr>
  </w:style>
  <w:style w:type="paragraph" w:styleId="Textpoznpodarou">
    <w:name w:val="footnote text"/>
    <w:aliases w:val="Char"/>
    <w:basedOn w:val="Normln"/>
    <w:link w:val="TextpoznpodarouChar"/>
    <w:semiHidden/>
    <w:rsid w:val="00ED22AF"/>
    <w:rPr>
      <w:rFonts w:eastAsia="Times New Roman"/>
    </w:rPr>
  </w:style>
  <w:style w:type="character" w:customStyle="1" w:styleId="TextpoznpodarouChar">
    <w:name w:val="Text pozn. pod čarou Char"/>
    <w:aliases w:val="Char Char"/>
    <w:basedOn w:val="Standardnpsmoodstavce"/>
    <w:link w:val="Textpoznpodarou"/>
    <w:semiHidden/>
    <w:rsid w:val="00ED22A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ED22AF"/>
    <w:rPr>
      <w:vertAlign w:val="superscript"/>
    </w:rPr>
  </w:style>
  <w:style w:type="character" w:styleId="Hypertextovodkaz">
    <w:name w:val="Hyperlink"/>
    <w:uiPriority w:val="99"/>
    <w:rsid w:val="00ED22AF"/>
    <w:rPr>
      <w:color w:val="0000FF"/>
      <w:u w:val="single"/>
    </w:rPr>
  </w:style>
  <w:style w:type="paragraph" w:styleId="Normlnweb">
    <w:name w:val="Normal (Web)"/>
    <w:basedOn w:val="Normln"/>
    <w:rsid w:val="00ED22AF"/>
    <w:pPr>
      <w:spacing w:before="100" w:beforeAutospacing="1" w:after="100" w:afterAutospacing="1"/>
    </w:pPr>
    <w:rPr>
      <w:rFonts w:eastAsia="Times New Roman"/>
    </w:rPr>
  </w:style>
  <w:style w:type="paragraph" w:styleId="Zhlav">
    <w:name w:val="header"/>
    <w:basedOn w:val="Normln"/>
    <w:link w:val="ZhlavChar"/>
    <w:uiPriority w:val="99"/>
    <w:unhideWhenUsed/>
    <w:rsid w:val="007014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01431"/>
    <w:rPr>
      <w:rFonts w:asciiTheme="minorHAnsi" w:hAnsiTheme="minorHAnsi" w:cstheme="minorBidi"/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014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01431"/>
    <w:rPr>
      <w:rFonts w:asciiTheme="minorHAnsi" w:hAnsiTheme="minorHAnsi" w:cstheme="minorBidi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5F3C13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C04AB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04AB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04ABC"/>
    <w:rPr>
      <w:rFonts w:asciiTheme="minorHAnsi" w:hAnsiTheme="minorHAnsi" w:cstheme="minorBidi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04AB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04ABC"/>
    <w:rPr>
      <w:rFonts w:asciiTheme="minorHAnsi" w:hAnsiTheme="minorHAnsi" w:cstheme="minorBidi"/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04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4ABC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0A3ABA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eastAsia="cs-CZ"/>
    </w:rPr>
  </w:style>
  <w:style w:type="paragraph" w:styleId="Bezmezer">
    <w:name w:val="No Spacing"/>
    <w:uiPriority w:val="1"/>
    <w:qFormat/>
    <w:rsid w:val="00315200"/>
    <w:rPr>
      <w:rFonts w:asciiTheme="minorHAnsi" w:hAnsiTheme="minorHAnsi" w:cstheme="minorBidi"/>
      <w:sz w:val="22"/>
      <w:szCs w:val="22"/>
    </w:rPr>
  </w:style>
  <w:style w:type="character" w:styleId="Siln">
    <w:name w:val="Strong"/>
    <w:basedOn w:val="Standardnpsmoodstavce"/>
    <w:uiPriority w:val="22"/>
    <w:qFormat/>
    <w:rsid w:val="00704031"/>
    <w:rPr>
      <w:b/>
      <w:bCs/>
    </w:rPr>
  </w:style>
  <w:style w:type="character" w:styleId="Zvraznn">
    <w:name w:val="Emphasis"/>
    <w:basedOn w:val="Standardnpsmoodstavce"/>
    <w:uiPriority w:val="20"/>
    <w:qFormat/>
    <w:rsid w:val="00704031"/>
    <w:rPr>
      <w:i/>
      <w:iCs/>
    </w:rPr>
  </w:style>
  <w:style w:type="character" w:styleId="Sledovanodkaz">
    <w:name w:val="FollowedHyperlink"/>
    <w:basedOn w:val="Standardnpsmoodstavce"/>
    <w:uiPriority w:val="99"/>
    <w:semiHidden/>
    <w:unhideWhenUsed/>
    <w:rsid w:val="004849C3"/>
    <w:rPr>
      <w:color w:val="800080" w:themeColor="followedHyperlink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3B4A7E"/>
    <w:rPr>
      <w:rFonts w:asciiTheme="minorHAnsi" w:eastAsiaTheme="majorEastAsia" w:hAnsiTheme="minorHAnsi" w:cstheme="majorBidi"/>
      <w:b/>
      <w:sz w:val="24"/>
      <w:szCs w:val="24"/>
    </w:rPr>
  </w:style>
  <w:style w:type="paragraph" w:styleId="Nadpisobsahu">
    <w:name w:val="TOC Heading"/>
    <w:basedOn w:val="Nadpis1"/>
    <w:next w:val="Normln"/>
    <w:uiPriority w:val="39"/>
    <w:unhideWhenUsed/>
    <w:qFormat/>
    <w:rsid w:val="00D16B40"/>
    <w:pPr>
      <w:keepLines/>
      <w:numPr>
        <w:numId w:val="0"/>
      </w:numPr>
      <w:spacing w:after="0" w:line="259" w:lineRule="auto"/>
      <w:outlineLvl w:val="9"/>
    </w:pPr>
    <w:rPr>
      <w:rFonts w:asciiTheme="majorHAnsi" w:hAnsiTheme="majorHAnsi" w:cstheme="majorBidi"/>
      <w:b w:val="0"/>
      <w:bCs w:val="0"/>
      <w:color w:val="365F91" w:themeColor="accent1" w:themeShade="BF"/>
      <w:kern w:val="0"/>
      <w:sz w:val="32"/>
      <w:szCs w:val="32"/>
      <w:lang w:val="en-US"/>
    </w:rPr>
  </w:style>
  <w:style w:type="paragraph" w:styleId="Obsah3">
    <w:name w:val="toc 3"/>
    <w:basedOn w:val="Normln"/>
    <w:next w:val="Normln"/>
    <w:autoRedefine/>
    <w:uiPriority w:val="39"/>
    <w:unhideWhenUsed/>
    <w:rsid w:val="00D16B40"/>
    <w:pPr>
      <w:spacing w:after="100"/>
      <w:ind w:left="4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01431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ED22AF"/>
    <w:pPr>
      <w:keepNext/>
      <w:numPr>
        <w:numId w:val="1"/>
      </w:numPr>
      <w:spacing w:before="240" w:after="60"/>
      <w:outlineLvl w:val="0"/>
    </w:pPr>
    <w:rPr>
      <w:rFonts w:eastAsiaTheme="majorEastAsia" w:cstheme="minorHAnsi"/>
      <w:b/>
      <w:bCs/>
      <w:kern w:val="32"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qFormat/>
    <w:rsid w:val="003B4A7E"/>
    <w:pPr>
      <w:keepNext/>
      <w:keepLines/>
      <w:spacing w:before="40" w:after="0"/>
      <w:outlineLvl w:val="2"/>
    </w:pPr>
    <w:rPr>
      <w:rFonts w:eastAsiaTheme="majorEastAsia" w:cstheme="majorBidi"/>
      <w:b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ED22AF"/>
  </w:style>
  <w:style w:type="character" w:customStyle="1" w:styleId="Nadpis1Char">
    <w:name w:val="Nadpis 1 Char"/>
    <w:basedOn w:val="Standardnpsmoodstavce"/>
    <w:link w:val="Nadpis1"/>
    <w:uiPriority w:val="9"/>
    <w:rsid w:val="00ED22AF"/>
    <w:rPr>
      <w:rFonts w:eastAsiaTheme="majorEastAsia" w:cstheme="minorHAnsi"/>
      <w:b/>
      <w:bCs/>
      <w:kern w:val="32"/>
      <w:sz w:val="36"/>
      <w:szCs w:val="36"/>
      <w:lang w:eastAsia="cs-CZ"/>
    </w:rPr>
  </w:style>
  <w:style w:type="paragraph" w:styleId="Textpoznpodarou">
    <w:name w:val="footnote text"/>
    <w:aliases w:val="Char"/>
    <w:basedOn w:val="Normln"/>
    <w:link w:val="TextpoznpodarouChar"/>
    <w:semiHidden/>
    <w:rsid w:val="00ED22AF"/>
    <w:rPr>
      <w:rFonts w:eastAsia="Times New Roman"/>
    </w:rPr>
  </w:style>
  <w:style w:type="character" w:customStyle="1" w:styleId="TextpoznpodarouChar">
    <w:name w:val="Text pozn. pod čarou Char"/>
    <w:aliases w:val="Char Char"/>
    <w:basedOn w:val="Standardnpsmoodstavce"/>
    <w:link w:val="Textpoznpodarou"/>
    <w:semiHidden/>
    <w:rsid w:val="00ED22A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ED22AF"/>
    <w:rPr>
      <w:vertAlign w:val="superscript"/>
    </w:rPr>
  </w:style>
  <w:style w:type="character" w:styleId="Hypertextovodkaz">
    <w:name w:val="Hyperlink"/>
    <w:uiPriority w:val="99"/>
    <w:rsid w:val="00ED22AF"/>
    <w:rPr>
      <w:color w:val="0000FF"/>
      <w:u w:val="single"/>
    </w:rPr>
  </w:style>
  <w:style w:type="paragraph" w:styleId="Normlnweb">
    <w:name w:val="Normal (Web)"/>
    <w:basedOn w:val="Normln"/>
    <w:rsid w:val="00ED22AF"/>
    <w:pPr>
      <w:spacing w:before="100" w:beforeAutospacing="1" w:after="100" w:afterAutospacing="1"/>
    </w:pPr>
    <w:rPr>
      <w:rFonts w:eastAsia="Times New Roman"/>
    </w:rPr>
  </w:style>
  <w:style w:type="paragraph" w:styleId="Zhlav">
    <w:name w:val="header"/>
    <w:basedOn w:val="Normln"/>
    <w:link w:val="ZhlavChar"/>
    <w:uiPriority w:val="99"/>
    <w:unhideWhenUsed/>
    <w:rsid w:val="007014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01431"/>
    <w:rPr>
      <w:rFonts w:asciiTheme="minorHAnsi" w:hAnsiTheme="minorHAnsi" w:cstheme="minorBidi"/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014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01431"/>
    <w:rPr>
      <w:rFonts w:asciiTheme="minorHAnsi" w:hAnsiTheme="minorHAnsi" w:cstheme="minorBidi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5F3C13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C04AB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04AB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04ABC"/>
    <w:rPr>
      <w:rFonts w:asciiTheme="minorHAnsi" w:hAnsiTheme="minorHAnsi" w:cstheme="minorBidi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04AB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04ABC"/>
    <w:rPr>
      <w:rFonts w:asciiTheme="minorHAnsi" w:hAnsiTheme="minorHAnsi" w:cstheme="minorBidi"/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04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4ABC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0A3ABA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eastAsia="cs-CZ"/>
    </w:rPr>
  </w:style>
  <w:style w:type="paragraph" w:styleId="Bezmezer">
    <w:name w:val="No Spacing"/>
    <w:uiPriority w:val="1"/>
    <w:qFormat/>
    <w:rsid w:val="00315200"/>
    <w:rPr>
      <w:rFonts w:asciiTheme="minorHAnsi" w:hAnsiTheme="minorHAnsi" w:cstheme="minorBidi"/>
      <w:sz w:val="22"/>
      <w:szCs w:val="22"/>
    </w:rPr>
  </w:style>
  <w:style w:type="character" w:styleId="Siln">
    <w:name w:val="Strong"/>
    <w:basedOn w:val="Standardnpsmoodstavce"/>
    <w:uiPriority w:val="22"/>
    <w:qFormat/>
    <w:rsid w:val="00704031"/>
    <w:rPr>
      <w:b/>
      <w:bCs/>
    </w:rPr>
  </w:style>
  <w:style w:type="character" w:styleId="Zvraznn">
    <w:name w:val="Emphasis"/>
    <w:basedOn w:val="Standardnpsmoodstavce"/>
    <w:uiPriority w:val="20"/>
    <w:qFormat/>
    <w:rsid w:val="00704031"/>
    <w:rPr>
      <w:i/>
      <w:iCs/>
    </w:rPr>
  </w:style>
  <w:style w:type="character" w:styleId="Sledovanodkaz">
    <w:name w:val="FollowedHyperlink"/>
    <w:basedOn w:val="Standardnpsmoodstavce"/>
    <w:uiPriority w:val="99"/>
    <w:semiHidden/>
    <w:unhideWhenUsed/>
    <w:rsid w:val="004849C3"/>
    <w:rPr>
      <w:color w:val="800080" w:themeColor="followedHyperlink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3B4A7E"/>
    <w:rPr>
      <w:rFonts w:asciiTheme="minorHAnsi" w:eastAsiaTheme="majorEastAsia" w:hAnsiTheme="minorHAnsi" w:cstheme="majorBidi"/>
      <w:b/>
      <w:sz w:val="24"/>
      <w:szCs w:val="24"/>
    </w:rPr>
  </w:style>
  <w:style w:type="paragraph" w:styleId="Nadpisobsahu">
    <w:name w:val="TOC Heading"/>
    <w:basedOn w:val="Nadpis1"/>
    <w:next w:val="Normln"/>
    <w:uiPriority w:val="39"/>
    <w:unhideWhenUsed/>
    <w:qFormat/>
    <w:rsid w:val="00D16B40"/>
    <w:pPr>
      <w:keepLines/>
      <w:numPr>
        <w:numId w:val="0"/>
      </w:numPr>
      <w:spacing w:after="0" w:line="259" w:lineRule="auto"/>
      <w:outlineLvl w:val="9"/>
    </w:pPr>
    <w:rPr>
      <w:rFonts w:asciiTheme="majorHAnsi" w:hAnsiTheme="majorHAnsi" w:cstheme="majorBidi"/>
      <w:b w:val="0"/>
      <w:bCs w:val="0"/>
      <w:color w:val="365F91" w:themeColor="accent1" w:themeShade="BF"/>
      <w:kern w:val="0"/>
      <w:sz w:val="32"/>
      <w:szCs w:val="32"/>
      <w:lang w:val="en-US"/>
    </w:rPr>
  </w:style>
  <w:style w:type="paragraph" w:styleId="Obsah3">
    <w:name w:val="toc 3"/>
    <w:basedOn w:val="Normln"/>
    <w:next w:val="Normln"/>
    <w:autoRedefine/>
    <w:uiPriority w:val="39"/>
    <w:unhideWhenUsed/>
    <w:rsid w:val="00D16B40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8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05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9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21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16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0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2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1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8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7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9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5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96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9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7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35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8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48B5A-34EB-4A33-ADD4-1052E0112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2043</Words>
  <Characters>12056</Characters>
  <Application>Microsoft Office Word</Application>
  <DocSecurity>0</DocSecurity>
  <Lines>100</Lines>
  <Paragraphs>28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 Simral</dc:creator>
  <cp:lastModifiedBy>Jirka</cp:lastModifiedBy>
  <cp:revision>2</cp:revision>
  <cp:lastPrinted>2015-07-27T12:26:00Z</cp:lastPrinted>
  <dcterms:created xsi:type="dcterms:W3CDTF">2016-01-15T13:49:00Z</dcterms:created>
  <dcterms:modified xsi:type="dcterms:W3CDTF">2016-01-15T13:49:00Z</dcterms:modified>
</cp:coreProperties>
</file>